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8D" w:rsidRPr="003D1A8D" w:rsidRDefault="003D1A8D" w:rsidP="003D1A8D">
      <w:pPr>
        <w:shd w:val="clear" w:color="auto" w:fill="FFFFFF"/>
        <w:spacing w:before="480" w:after="240" w:line="27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35"/>
          <w:szCs w:val="35"/>
          <w:lang w:eastAsia="ru-RU"/>
        </w:rPr>
      </w:pPr>
      <w:r w:rsidRPr="003D1A8D">
        <w:rPr>
          <w:rFonts w:ascii="Helvetica" w:eastAsia="Times New Roman" w:hAnsi="Helvetica" w:cs="Helvetica"/>
          <w:b/>
          <w:bCs/>
          <w:color w:val="555555"/>
          <w:kern w:val="36"/>
          <w:sz w:val="35"/>
          <w:szCs w:val="35"/>
          <w:lang w:eastAsia="ru-RU"/>
        </w:rPr>
        <w:t>Инвестиционная деятельность</w:t>
      </w:r>
    </w:p>
    <w:p w:rsidR="003D1A8D" w:rsidRPr="003D1A8D" w:rsidRDefault="003D1A8D" w:rsidP="003D1A8D">
      <w:p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hyperlink r:id="rId5" w:history="1">
        <w:r w:rsidRPr="003D1A8D">
          <w:rPr>
            <w:rFonts w:ascii="inherit" w:eastAsia="Times New Roman" w:hAnsi="inherit" w:cs="Helvetica"/>
            <w:b/>
            <w:bCs/>
            <w:color w:val="3366CC"/>
            <w:sz w:val="20"/>
            <w:lang w:eastAsia="ru-RU"/>
          </w:rPr>
          <w:t>Инвестиционные проекты в туризме Самарской области</w:t>
        </w:r>
      </w:hyperlink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19 января 2011 года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 10:30</w:t>
      </w: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 здании Правительства Самарской области состоялось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подписание соглашений о намерениях по реализации инвестиционных проектов на территории особой экономической зоны туристско-рекреационного типа на территории Самарской области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между Правительством Самарской области и четырьмя компаниями: научно-производственной фирмой «Мета», ООО «Финансово-строительная компания Стройэнерго», ЗАО «Проектно-промышленное строительное объединение (ППСО) АО «Авиакор», ООО управляющей компанией «ВолНа», некоммерческой организацией «Ассоциация координации предпринимательской деятельности в сфере строительства, недвижимости и консалтинга «Версиво».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 соглашениях стороны обозначили первоочередные направления совместной деятельности на территории региона:</w:t>
      </w:r>
    </w:p>
    <w:p w:rsidR="003D1A8D" w:rsidRPr="003D1A8D" w:rsidRDefault="003D1A8D" w:rsidP="003D1A8D">
      <w:pPr>
        <w:numPr>
          <w:ilvl w:val="0"/>
          <w:numId w:val="1"/>
        </w:numPr>
        <w:spacing w:after="0" w:line="270" w:lineRule="atLeast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реализация на территории Самарской области инвестиционного проекта создания комплекса зданий и сооружений туристско-рекреационного типа в городском округе Тольятти Самарской области;</w:t>
      </w:r>
    </w:p>
    <w:p w:rsidR="003D1A8D" w:rsidRPr="003D1A8D" w:rsidRDefault="003D1A8D" w:rsidP="003D1A8D">
      <w:pPr>
        <w:numPr>
          <w:ilvl w:val="0"/>
          <w:numId w:val="1"/>
        </w:numPr>
        <w:spacing w:after="0" w:line="270" w:lineRule="atLeast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реализация на территории Самарской области инвестиционного проекта «Hilton Garden Inn Riverside Hotel»;</w:t>
      </w:r>
    </w:p>
    <w:p w:rsidR="003D1A8D" w:rsidRPr="003D1A8D" w:rsidRDefault="003D1A8D" w:rsidP="003D1A8D">
      <w:pPr>
        <w:numPr>
          <w:ilvl w:val="0"/>
          <w:numId w:val="1"/>
        </w:numPr>
        <w:spacing w:after="0" w:line="270" w:lineRule="atLeast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реализация на территории Самарской области инвестиционного проекта по созданию парка развлечений в городском округе Тольятти Самарской области;</w:t>
      </w:r>
    </w:p>
    <w:p w:rsidR="003D1A8D" w:rsidRPr="003D1A8D" w:rsidRDefault="003D1A8D" w:rsidP="003D1A8D">
      <w:pPr>
        <w:numPr>
          <w:ilvl w:val="0"/>
          <w:numId w:val="1"/>
        </w:numPr>
        <w:spacing w:after="0" w:line="270" w:lineRule="atLeast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реализация на территории Самарской области инвестиционного проекта «Всероссийский центр событийного туризма и семейного отдыха – Фестивальный парк на Мастрюковской Поляне» в муниципальном районе Ставропольский Самарской области;</w:t>
      </w:r>
    </w:p>
    <w:p w:rsidR="003D1A8D" w:rsidRPr="003D1A8D" w:rsidRDefault="003D1A8D" w:rsidP="003D1A8D">
      <w:pPr>
        <w:numPr>
          <w:ilvl w:val="0"/>
          <w:numId w:val="1"/>
        </w:numPr>
        <w:spacing w:after="0" w:line="270" w:lineRule="atLeast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реализация на территории Самарской области инвестиционного проекта «Строительство канатной переправы через реку Волгу между городским округом Самара и селом Рождествено муниципального района Волжский Самарской области и сопутствующей инфраструктуры».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Вышеуказанные соглашения по срокам ограничиваются моментом заключения сторонами соглашений о сотрудничестве.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Подписание соглашений внесет весомый вклад в обеспечение стабильности и устойчивого развития Самарской области. Соглашения будут  способствовать реализации взаимовыгодных экономически обоснованных инвестиционных проектов, связанных с развитием туристкой инфраструктуры Самарской области.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i/>
          <w:iCs/>
          <w:color w:val="555555"/>
          <w:sz w:val="20"/>
          <w:u w:val="single"/>
          <w:lang w:eastAsia="ru-RU"/>
        </w:rPr>
        <w:t>Для справки:</w:t>
      </w: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> В соответствии с протоколом совещания у Заместителя Председателя Правительства Российской Федерации А.Д.Жукова от 24.11.2009 № АЖ-П12-67пр и протоколом совещания у Губернатора – председателя Правительства Самарской области В.В.Артякова от 22.12.2009 № ВА-11/32 министерством спорта, туризма и молодежной политики Самарской области (далее - министерство) ведется </w:t>
      </w:r>
      <w:r w:rsidRPr="003D1A8D">
        <w:rPr>
          <w:rFonts w:ascii="inherit" w:eastAsia="Times New Roman" w:hAnsi="inherit" w:cs="Helvetica"/>
          <w:b/>
          <w:bCs/>
          <w:i/>
          <w:iCs/>
          <w:color w:val="555555"/>
          <w:sz w:val="20"/>
          <w:lang w:eastAsia="ru-RU"/>
        </w:rPr>
        <w:t>работа по подготовке заявки на создание особой экономической зоны туристско-рекреационного типа на территории Самарской области.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>Особая экономическая зона туристско-рекреационного типа будет располагаться на территориях нескольких муниципальных образований Самарской области.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>На территории особой экономической зоны туристско-рекреационного типа предполагается </w:t>
      </w:r>
      <w:r w:rsidRPr="003D1A8D">
        <w:rPr>
          <w:rFonts w:ascii="inherit" w:eastAsia="Times New Roman" w:hAnsi="inherit" w:cs="Helvetica"/>
          <w:b/>
          <w:bCs/>
          <w:i/>
          <w:iCs/>
          <w:color w:val="555555"/>
          <w:sz w:val="20"/>
          <w:lang w:eastAsia="ru-RU"/>
        </w:rPr>
        <w:t>размещение объектов туристской индустрии (санаторно-курортного направления, медицинской реабилитации), объектов размещения и туристского показа, а также осуществление деятельности по разработке месторождений минеральных вод, лечебных грязей и других природных лечебных ресурсов, их добыче и использованию, промышленному розливу минеральных вод.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 xml:space="preserve">Инвестирование в объекты по предоставлению туристско-рекреационных услуг дает уникальную возможность резидентам особой экономической зоны туристско-рекреационного типа реализовать свои </w:t>
      </w: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lastRenderedPageBreak/>
        <w:t>проекты на основе уже готовой инженерно-строительной инфраструктуры. </w:t>
      </w:r>
      <w:r w:rsidRPr="003D1A8D">
        <w:rPr>
          <w:rFonts w:ascii="inherit" w:eastAsia="Times New Roman" w:hAnsi="inherit" w:cs="Helvetica"/>
          <w:b/>
          <w:bCs/>
          <w:i/>
          <w:iCs/>
          <w:color w:val="555555"/>
          <w:sz w:val="20"/>
          <w:lang w:eastAsia="ru-RU"/>
        </w:rPr>
        <w:t>Государство берет на себя строительство инфраструктуры </w:t>
      </w: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>(дороги, энергосети, газопровод, очистные сооружения, котельная, водопровод и многое другое),</w:t>
      </w:r>
      <w:r w:rsidRPr="003D1A8D">
        <w:rPr>
          <w:rFonts w:ascii="inherit" w:eastAsia="Times New Roman" w:hAnsi="inherit" w:cs="Helvetica"/>
          <w:b/>
          <w:bCs/>
          <w:i/>
          <w:iCs/>
          <w:color w:val="555555"/>
          <w:sz w:val="20"/>
          <w:lang w:eastAsia="ru-RU"/>
        </w:rPr>
        <w:t>а частный бизнес – строительство туристских объектов</w:t>
      </w: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>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i/>
          <w:iCs/>
          <w:color w:val="555555"/>
          <w:sz w:val="20"/>
          <w:lang w:eastAsia="ru-RU"/>
        </w:rPr>
        <w:t>Особый режим предпринимательской деятельности на территории особой экономической зоны туристско-рекреационного типа включает в себя предоставление налоговых и административных преференций, льготного режима землепользования, а также гарантии от возможных неблагоприятных изменений в законодательстве Российской Федерации о налогах и сборах.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i/>
          <w:iCs/>
          <w:color w:val="555555"/>
          <w:sz w:val="20"/>
          <w:lang w:eastAsia="ru-RU"/>
        </w:rPr>
        <w:t>Безусловным инновационным достижением выступает организация работы системы «Одного окна», которая позволит разрешать многие административные вопросы в Едином сервисном центре на территории особой экономической зоны туристско-рекреационного типа. Возможность получения государственных услуг по такой схеме значительно сокращает как временные, так и материальные затраты инвесторов при оформлении земельных отношений и получении различной разрешительной документации.</w:t>
      </w:r>
    </w:p>
    <w:p w:rsidR="003D1A8D" w:rsidRPr="003D1A8D" w:rsidRDefault="003D1A8D" w:rsidP="003D1A8D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</w:p>
    <w:p w:rsidR="003D1A8D" w:rsidRPr="003D1A8D" w:rsidRDefault="003D1A8D" w:rsidP="003D1A8D">
      <w:pPr>
        <w:spacing w:after="0" w:line="270" w:lineRule="atLeast"/>
        <w:jc w:val="center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800000"/>
          <w:sz w:val="20"/>
          <w:lang w:eastAsia="ru-RU"/>
        </w:rPr>
        <w:t>Инвестиционные проекты в сфере туризма в Самарской области</w:t>
      </w:r>
    </w:p>
    <w:p w:rsidR="003D1A8D" w:rsidRPr="003D1A8D" w:rsidRDefault="003D1A8D" w:rsidP="003D1A8D">
      <w:pPr>
        <w:spacing w:before="150" w:after="24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</w:p>
    <w:p w:rsidR="003D1A8D" w:rsidRPr="003D1A8D" w:rsidRDefault="003D1A8D" w:rsidP="003D1A8D">
      <w:pPr>
        <w:spacing w:before="150" w:after="150" w:line="270" w:lineRule="atLeast"/>
        <w:jc w:val="center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5219700" cy="5638800"/>
            <wp:effectExtent l="19050" t="0" r="0" b="0"/>
            <wp:docPr id="1" name="Рисунок 1" descr="invest24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st24_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A8D" w:rsidRPr="003D1A8D" w:rsidRDefault="003D1A8D" w:rsidP="003D1A8D">
      <w:p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hyperlink r:id="rId7" w:history="1">
        <w:r w:rsidRPr="003D1A8D">
          <w:rPr>
            <w:rFonts w:ascii="inherit" w:eastAsia="Times New Roman" w:hAnsi="inherit" w:cs="Helvetica"/>
            <w:b/>
            <w:bCs/>
            <w:color w:val="3366CC"/>
            <w:sz w:val="20"/>
            <w:lang w:eastAsia="ru-RU"/>
          </w:rPr>
          <w:t>Читать полностью</w:t>
        </w:r>
      </w:hyperlink>
    </w:p>
    <w:p w:rsidR="003D1A8D" w:rsidRPr="003D1A8D" w:rsidRDefault="003D1A8D" w:rsidP="003D1A8D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lastRenderedPageBreak/>
        <w:t> </w:t>
      </w:r>
    </w:p>
    <w:p w:rsidR="003D1A8D" w:rsidRPr="003D1A8D" w:rsidRDefault="003D1A8D" w:rsidP="003D1A8D">
      <w:pPr>
        <w:spacing w:after="0" w:line="270" w:lineRule="atLeast"/>
        <w:jc w:val="center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800000"/>
          <w:sz w:val="20"/>
          <w:lang w:eastAsia="ru-RU"/>
        </w:rPr>
        <w:t>Критерии отбора инвестиционных проектов для реализации в рамках федеральной целевой программы «Развитие внутреннего и въездного туризма в Российской Федерации (2011- 2016 годы)»</w:t>
      </w:r>
    </w:p>
    <w:p w:rsidR="003D1A8D" w:rsidRPr="003D1A8D" w:rsidRDefault="003D1A8D" w:rsidP="003D1A8D">
      <w:pPr>
        <w:spacing w:after="0" w:line="270" w:lineRule="atLeast"/>
        <w:jc w:val="center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3366CC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powerpoint_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point_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A8D">
        <w:rPr>
          <w:rFonts w:ascii="inherit" w:eastAsia="Times New Roman" w:hAnsi="inherit" w:cs="Helvetica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br/>
      </w:r>
    </w:p>
    <w:p w:rsidR="003D1A8D" w:rsidRPr="003D1A8D" w:rsidRDefault="003D1A8D" w:rsidP="003D1A8D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</w:p>
    <w:p w:rsidR="003D1A8D" w:rsidRPr="003D1A8D" w:rsidRDefault="003D1A8D" w:rsidP="003D1A8D">
      <w:pPr>
        <w:spacing w:after="0" w:line="270" w:lineRule="atLeast"/>
        <w:jc w:val="center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800000"/>
          <w:sz w:val="20"/>
          <w:lang w:eastAsia="ru-RU"/>
        </w:rPr>
        <w:t>Нормативные правовые акты в инвестиционной сфере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 Самарской области от 16.03.2006 № 19-ГД «Об инвестициях и государственной поддержке инвестиционной деятельности в Самарской области»;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Постановление Правительства Самарской области от 14.05.2008 № 138 «О предоставлении субсидий за счет средств областного бюджета инвесторам-производителям товаров, работ, услуг в целях реализации инвестиционных проектов на территории Самарской области»;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Постановление Правительства Самарской области от 19.03.2009 № 121 «О порядке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Распоряжение Правительства Самарской области от 23.06.2006 № 90-р «О конкурсной комиссии по предоставлению государственных гарантий и субсидий за счет средств областного бюджета для реализации инвестиционных проектов»;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Приказ министерства экономического развития, инвестиций и торговли Самарской области от 30.03.2007 № 6 «Об утверждении Порядка согласования бизнес-планов инвестиционных проектов организаций, претендующих на государственную поддержку в форме льготного налогообложения, на территории Самарской области»;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Приказ министерства экономического развития, инвестиций и торговли Самарской области от 01.08.2008 № 62 «Об утверждении Порядка проведения анализа финансового состояния инвесторов -  производителей товаров, работ, услуг в целях предоставления субсидий за счет средств областного бюджета»;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Приказ министерства экономического развития, инвестиций и торговли Самарской области от 01.08.2008 № 63 «Об утверждении Порядка предварительной оценки эффективности инвестиционного проекта»;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Приказ министерства экономического развития, инвестиций и торговли Самарской области от 25.08.2009 № 89 «Об утверждении методики оценки эффективности использования средств областного бюджета, направляемых на капитальные вложения»;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Приказ министерства экономического развития, инвестиций и торговли Самарской области от 25.08.2009 № 90 «Об утверждении формы паспорта инвестиционного проекта, представляемого для проверки инвестиционных проектов на предмет эффективности использования средств областного бюджета, направляемых на капитальные вложения»;</w:t>
      </w:r>
    </w:p>
    <w:p w:rsidR="003D1A8D" w:rsidRPr="003D1A8D" w:rsidRDefault="003D1A8D" w:rsidP="003D1A8D">
      <w:pPr>
        <w:numPr>
          <w:ilvl w:val="0"/>
          <w:numId w:val="2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Приказ министерства экономического развития, инвестиций и торговли Самарской области от 25.08.2009 № 91 «Об утверждении формы заключения о результатах проверки инвестиционных проектов на предмет эффективности использования средств областного бюджета, направляемых на капитальные вложения».</w:t>
      </w:r>
    </w:p>
    <w:p w:rsidR="003D1A8D" w:rsidRPr="003D1A8D" w:rsidRDefault="003D1A8D" w:rsidP="003D1A8D">
      <w:pPr>
        <w:spacing w:after="0" w:line="270" w:lineRule="atLeast"/>
        <w:jc w:val="center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800000"/>
          <w:sz w:val="20"/>
          <w:lang w:eastAsia="ru-RU"/>
        </w:rPr>
        <w:t>Нормативные правовые акты в налоговой сфере</w:t>
      </w:r>
    </w:p>
    <w:p w:rsidR="003D1A8D" w:rsidRPr="003D1A8D" w:rsidRDefault="003D1A8D" w:rsidP="003D1A8D">
      <w:pPr>
        <w:numPr>
          <w:ilvl w:val="0"/>
          <w:numId w:val="3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 Самарской области № 98-ГД от 25.11.2003 «О налоге на имущество организаций на территории Самарской области»;</w:t>
      </w:r>
    </w:p>
    <w:p w:rsidR="003D1A8D" w:rsidRPr="003D1A8D" w:rsidRDefault="003D1A8D" w:rsidP="003D1A8D">
      <w:pPr>
        <w:numPr>
          <w:ilvl w:val="0"/>
          <w:numId w:val="3"/>
        </w:num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 Самарской области № 187-ГД от 07.11.2005 «О пониженных ставках налога на прибыль организаций, зачисляемого в областной бюджет».</w:t>
      </w:r>
    </w:p>
    <w:p w:rsidR="003D1A8D" w:rsidRPr="003D1A8D" w:rsidRDefault="003D1A8D" w:rsidP="003D1A8D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</w:p>
    <w:p w:rsidR="003D1A8D" w:rsidRPr="003D1A8D" w:rsidRDefault="003D1A8D" w:rsidP="003D1A8D">
      <w:pPr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800000"/>
          <w:sz w:val="21"/>
          <w:lang w:eastAsia="ru-RU"/>
        </w:rPr>
        <w:t>Государственная поддержка инвестиционной деятельности на территории Самарской области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 соответствии с Федеральным законом «Об инвестиционной деятельности в Российской Федерации, осуществляемой в форме капитальных вложений» от 25.02.1999 № 39-ФЗ и Законом Самарской области «Об инвестициях и государственной поддержке инвестиционной деятельности в Самарской области» от 16.03.2006 № 19-ГД  государственная поддержка инвестиционной деятельности в регионе осуществляется путем улучшения инвестиционного климата и непосредственного (прямого) участия государства в инвестиционной деятельности.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Региональное инвестиционное законодательство закрепляет достаточно широкий спектр форм государственной поддержки инвестиционной деятельности.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 этом организации могут воспользоваться государственной поддержкой на всех этапах реализации проектов.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На этапе принятия инвестором решения об открытии бизнеса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на территории Самарской области: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Оказывается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информационная, консультационная помощь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, оказывается содействие инвесторам в подборе площадей и земельных участков на территории Самарской области.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 «Об инвестициях и государственной поддержке инвестиционной деятельности в Самарской области» предусматривает возможность заключения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инвестиционных меморандумов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между Правительством Самарской области и инвесторами, реализующими на территории области инвестиционные проекты стоимостью 650 млн. рублей и более. В соответствии с инвестиционным меморандумом инвестору устанавливается режим наибольшего благоприятствования в период реализации инвестиционного проекта и назначается государственный куратор. Инвестиционный меморандум заключается на период окупаемости инвестиционного проекта, но не более чем на семь лет.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На этапе реализации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инвесторами инвестиционных проектов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: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инвесторы на конкурсной основе могут воспользоваться такими формами государственной поддержки, как получение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государственных гарантий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Самарской области по инвестиционным проектам и предоставления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субсидий за счет средств областного бюджета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для реализации инвестиционных проектов.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Субсидии предоставляются в случаях и в пределах объема средств, предусмотренных законом Самарской области об областном бюджете на соответствующий финансовый год и плановый период. К сожалению, законом Самарской области от 30.11.2009 № 125-ГД «Об областном бюджете на 2010 год и на плановый период 2011 и 2012 годов» данная статья расходов не предусмотрена.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Субсидии за счет средств областного бюджета для реализации инвестиционных проектов предоставляются по следующим направлениям: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1) развитие коммунальной инфраструктуры общего пользования объекта инвестирования (создание и/или реконструкция систем водо-, тепло-, газо- и энергоснабжения, канализации, очистных сооружений, дорог и подъездных путей и/или иных внеплощадочных объектов инженерных сетей и коммуникаций) – в размере 30 млн. руб., но не более 50% расходов инвестора на указанные цели;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2) обучение или переобучение работающих в рамках реализуемого инвестиционного проекта – в размере 10 тыс. руб. за одного работающего, но не более 50% расходов инвестора на указанные цели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;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3) обучение или переобучение безработных производственным специальностям в рамках реализации инвестиционного проекта – в размере 15 тыс. руб. за одного безработного, но не более 50% расходов инвестора на указанные цели;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4) возмещение затрат на уплату процентов по инвестиционным кредитам, полученным в кредитных организациях, – в размере 2/3 произведенных затрат на уплату процентов по кредиту, но не более 2/3 ставки рефинансирования Центрального Банка  РФ;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5) возмещение затрат на уплату лизинговых платежей до  50% расходов инвестора на указанные цели, но не более 10 млн. руб. по одному инвестиционному проекту ежегодно;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6) возмещение затрат, связанных с патентованием и сертификацией продукции, оформлением прав на результаты интеллектуальной деятельности – в размере 1 млн. руб., но не более 50% расходов инвестора на указанные цели.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Также для инвесторов возможно получение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государственных гарантий Самарской области по возврату заемных денежных средств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, привлекаемых для осуществления инвестиционной деятельности.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Государственные гарантии Самарской области предоставляются на конкурсной основе, при условии, что срок возврата заемных средств, привлекаемых для реализации инвестиционных проектов, не превышает семи лет.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b/>
          <w:bCs/>
          <w:color w:val="555555"/>
          <w:sz w:val="20"/>
          <w:lang w:eastAsia="ru-RU"/>
        </w:rPr>
        <w:t>На этапе завершения инвестиционных проектов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государственная поддержка инвесторов на территории Самарской области осуществляется в форме льготного налогообложения: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1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)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освобождения от уплаты налога на имущество организаций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 отношении имущества, созданного или приобретенного после начала реализации инвестиционного проекта (в том числе поступившего в виде вклада в уставный (складочный) капитал организации) и предназначенного для его реализации для организаций (кроме банков и других кредитных организаций, страховых организаций), осуществляющих инвестиционную деятельность на территории Самарской области.</w:t>
      </w:r>
    </w:p>
    <w:p w:rsidR="003D1A8D" w:rsidRPr="003D1A8D" w:rsidRDefault="003D1A8D" w:rsidP="003D1A8D">
      <w:pPr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2)</w:t>
      </w:r>
      <w:r w:rsidRPr="003D1A8D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установления пониженной ставки налога на прибыль, зачисляемого в областной бюджет (13,5%)</w:t>
      </w: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, для инвесторов, осуществляющих на территории Самарской области инвестиционные проекты стоимостью 650 млн. рублей и более, а также организациям стройиндустрии.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Льготное налогообложение организаций устанавливается на срок окупаемости инвестиционного проекта, но не более чем на семь лет.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3D1A8D" w:rsidRPr="003D1A8D" w:rsidRDefault="003D1A8D" w:rsidP="003D1A8D">
      <w:pPr>
        <w:spacing w:before="150" w:after="150" w:line="270" w:lineRule="atLeast"/>
        <w:jc w:val="both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3D1A8D" w:rsidRPr="003D1A8D" w:rsidRDefault="003D1A8D" w:rsidP="003D1A8D">
      <w:pPr>
        <w:spacing w:after="0" w:line="270" w:lineRule="atLeast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3D1A8D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Сайт министерства экономического развития, инвестиций и торговли Самарской области:</w:t>
      </w:r>
      <w:hyperlink r:id="rId9" w:history="1">
        <w:r w:rsidRPr="003D1A8D">
          <w:rPr>
            <w:rFonts w:ascii="inherit" w:eastAsia="Times New Roman" w:hAnsi="inherit" w:cs="Helvetica"/>
            <w:b/>
            <w:bCs/>
            <w:color w:val="3366CC"/>
            <w:sz w:val="20"/>
            <w:lang w:eastAsia="ru-RU"/>
          </w:rPr>
          <w:t>http://www.economy.samregion.ru</w:t>
        </w:r>
      </w:hyperlink>
    </w:p>
    <w:p w:rsidR="00215AE8" w:rsidRDefault="00215AE8"/>
    <w:sectPr w:rsidR="00215AE8" w:rsidSect="0021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2CD6"/>
    <w:multiLevelType w:val="multilevel"/>
    <w:tmpl w:val="7FAE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A2E65"/>
    <w:multiLevelType w:val="multilevel"/>
    <w:tmpl w:val="1358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578D0"/>
    <w:multiLevelType w:val="multilevel"/>
    <w:tmpl w:val="40A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D1A8D"/>
    <w:rsid w:val="00215AE8"/>
    <w:rsid w:val="003D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8"/>
  </w:style>
  <w:style w:type="paragraph" w:styleId="1">
    <w:name w:val="heading 1"/>
    <w:basedOn w:val="a"/>
    <w:link w:val="10"/>
    <w:uiPriority w:val="9"/>
    <w:qFormat/>
    <w:rsid w:val="003D1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1A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1A8D"/>
    <w:rPr>
      <w:color w:val="0000FF"/>
      <w:u w:val="single"/>
    </w:rPr>
  </w:style>
  <w:style w:type="paragraph" w:customStyle="1" w:styleId="pageinfo">
    <w:name w:val="pageinfo"/>
    <w:basedOn w:val="a"/>
    <w:rsid w:val="003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1A8D"/>
    <w:rPr>
      <w:b/>
      <w:bCs/>
    </w:rPr>
  </w:style>
  <w:style w:type="character" w:customStyle="1" w:styleId="apple-converted-space">
    <w:name w:val="apple-converted-space"/>
    <w:basedOn w:val="a0"/>
    <w:rsid w:val="003D1A8D"/>
  </w:style>
  <w:style w:type="character" w:styleId="a6">
    <w:name w:val="Emphasis"/>
    <w:basedOn w:val="a0"/>
    <w:uiPriority w:val="20"/>
    <w:qFormat/>
    <w:rsid w:val="003D1A8D"/>
    <w:rPr>
      <w:i/>
      <w:iCs/>
    </w:rPr>
  </w:style>
  <w:style w:type="character" w:customStyle="1" w:styleId="leadingseparator">
    <w:name w:val="leading_separator"/>
    <w:basedOn w:val="a0"/>
    <w:rsid w:val="003D1A8D"/>
  </w:style>
  <w:style w:type="paragraph" w:styleId="a7">
    <w:name w:val="Balloon Text"/>
    <w:basedOn w:val="a"/>
    <w:link w:val="a8"/>
    <w:uiPriority w:val="99"/>
    <w:semiHidden/>
    <w:unhideWhenUsed/>
    <w:rsid w:val="003D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-sovet.ru/images/stories/_thumbs/Presentation_trebovaniya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ur-sovet.ru/invest/20-investsokat/35-invest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tour-sovet.ru/invest/20-investsok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nomy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1965</Words>
  <Characters>11204</Characters>
  <Application>Microsoft Office Word</Application>
  <DocSecurity>0</DocSecurity>
  <Lines>93</Lines>
  <Paragraphs>26</Paragraphs>
  <ScaleCrop>false</ScaleCrop>
  <Company>Microsoft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2012-02-28T09:35:00Z</dcterms:created>
  <dcterms:modified xsi:type="dcterms:W3CDTF">2012-02-28T09:36:00Z</dcterms:modified>
</cp:coreProperties>
</file>