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44" w:rsidRPr="00E806B6" w:rsidRDefault="00892744" w:rsidP="00892744">
      <w:pPr>
        <w:pStyle w:val="3"/>
        <w:spacing w:after="240"/>
        <w:jc w:val="left"/>
        <w:rPr>
          <w:rFonts w:ascii="Arial" w:hAnsi="Arial" w:cs="Arial"/>
          <w:bCs/>
          <w:sz w:val="26"/>
          <w:szCs w:val="26"/>
        </w:rPr>
      </w:pPr>
      <w:bookmarkStart w:id="0" w:name="_Toc305954320"/>
      <w:bookmarkStart w:id="1" w:name="_Toc307750236"/>
      <w:bookmarkStart w:id="2" w:name="_Toc315774225"/>
      <w:r w:rsidRPr="00E806B6">
        <w:rPr>
          <w:rFonts w:ascii="Arial" w:hAnsi="Arial" w:cs="Arial"/>
          <w:bCs/>
          <w:sz w:val="26"/>
          <w:szCs w:val="26"/>
        </w:rPr>
        <w:t>5.2.3. Туристско-рекреационный кластер</w:t>
      </w:r>
      <w:bookmarkEnd w:id="0"/>
      <w:bookmarkEnd w:id="1"/>
      <w:bookmarkEnd w:id="2"/>
    </w:p>
    <w:p w:rsidR="00892744" w:rsidRPr="00E806B6" w:rsidRDefault="00892744" w:rsidP="00892744">
      <w:pPr>
        <w:spacing w:after="0" w:line="240" w:lineRule="auto"/>
        <w:ind w:firstLine="709"/>
        <w:jc w:val="both"/>
        <w:rPr>
          <w:rFonts w:ascii="Times New Roman" w:hAnsi="Times New Roman"/>
          <w:b/>
          <w:sz w:val="24"/>
          <w:szCs w:val="24"/>
        </w:rPr>
      </w:pPr>
      <w:r w:rsidRPr="00E806B6">
        <w:rPr>
          <w:rFonts w:ascii="Times New Roman" w:hAnsi="Times New Roman"/>
          <w:b/>
          <w:sz w:val="24"/>
          <w:szCs w:val="24"/>
        </w:rPr>
        <w:t>5.2.3.1. Краткая характеристика кластера</w:t>
      </w:r>
    </w:p>
    <w:p w:rsidR="00892744" w:rsidRPr="00E806B6" w:rsidRDefault="00892744" w:rsidP="00892744">
      <w:pPr>
        <w:pStyle w:val="11"/>
      </w:pPr>
    </w:p>
    <w:p w:rsidR="00892744" w:rsidRPr="00E806B6" w:rsidRDefault="00892744" w:rsidP="00892744">
      <w:pPr>
        <w:pStyle w:val="11"/>
      </w:pPr>
      <w:proofErr w:type="gramStart"/>
      <w:r w:rsidRPr="00E806B6">
        <w:t xml:space="preserve">Формирование в Самарской области конкурентоспособного </w:t>
      </w:r>
      <w:proofErr w:type="spellStart"/>
      <w:r w:rsidRPr="00E806B6">
        <w:t>туристическо-рекреационного</w:t>
      </w:r>
      <w:proofErr w:type="spellEnd"/>
      <w:r w:rsidRPr="00E806B6">
        <w:t xml:space="preserve"> кластера является одним из приоритетных направлений региональной экономики, что обеспечивает, с одной стороны, спрос потребителей (как российских, так и зарубежных) на удовлетворение своих потребностей в туристско-рекреационных услугах, а с другой, значительный вклад в социально-экономическое развитие региона за счет увеличения доходной части областного бюджета, притока инвестиций, увеличения числа рабочих мест, улучшения здоровья населения, сохранения и</w:t>
      </w:r>
      <w:proofErr w:type="gramEnd"/>
      <w:r w:rsidRPr="00E806B6">
        <w:t xml:space="preserve"> рационального использования культурно-исторического и природного наследия.</w:t>
      </w:r>
    </w:p>
    <w:p w:rsidR="00892744" w:rsidRPr="00E806B6" w:rsidRDefault="00892744" w:rsidP="00892744">
      <w:pPr>
        <w:pStyle w:val="11"/>
      </w:pPr>
      <w:r w:rsidRPr="00E806B6">
        <w:t>В регионе имеются инфраструктурные предпосылки формирования туристско-рекреационных центров, рекреационных и курортных местностей, образующих территориальную основу развития регионального туристско-рекреационного кластера.</w:t>
      </w:r>
    </w:p>
    <w:p w:rsidR="00892744" w:rsidRPr="00E806B6" w:rsidRDefault="00892744" w:rsidP="00892744">
      <w:pPr>
        <w:pStyle w:val="11"/>
      </w:pPr>
    </w:p>
    <w:p w:rsidR="00892744" w:rsidRPr="00E806B6" w:rsidRDefault="00892744" w:rsidP="00892744">
      <w:pPr>
        <w:spacing w:after="0" w:line="240" w:lineRule="auto"/>
        <w:ind w:firstLine="709"/>
        <w:jc w:val="both"/>
        <w:rPr>
          <w:rFonts w:ascii="Times New Roman" w:hAnsi="Times New Roman"/>
          <w:b/>
          <w:sz w:val="24"/>
          <w:szCs w:val="24"/>
        </w:rPr>
      </w:pPr>
      <w:r w:rsidRPr="00E806B6">
        <w:rPr>
          <w:rFonts w:ascii="Times New Roman" w:hAnsi="Times New Roman"/>
          <w:b/>
          <w:sz w:val="24"/>
          <w:szCs w:val="24"/>
        </w:rPr>
        <w:t>5.2.3.2. Структура кластера</w:t>
      </w:r>
    </w:p>
    <w:p w:rsidR="00892744" w:rsidRPr="00E806B6" w:rsidRDefault="00892744" w:rsidP="00892744">
      <w:pPr>
        <w:pStyle w:val="11"/>
      </w:pPr>
    </w:p>
    <w:p w:rsidR="00892744" w:rsidRPr="00E806B6" w:rsidRDefault="00892744" w:rsidP="00892744">
      <w:pPr>
        <w:pStyle w:val="11"/>
      </w:pPr>
      <w:r w:rsidRPr="00E806B6">
        <w:t xml:space="preserve">Неотъемлемыми составляющими туристского кластера являются субъекты туристской деятельности (туроператоры и </w:t>
      </w:r>
      <w:proofErr w:type="spellStart"/>
      <w:r w:rsidRPr="00E806B6">
        <w:t>турагенты</w:t>
      </w:r>
      <w:proofErr w:type="spellEnd"/>
      <w:r w:rsidRPr="00E806B6">
        <w:t xml:space="preserve">), субъекты сферы размещения (гостиницы, мотели, туристские базы, кемпинги, детские лагеря и т.п.), транспортные компании, учебные заведения, осуществляющие подготовку кадров для данного сегмента, объекты туристского показа, </w:t>
      </w:r>
      <w:proofErr w:type="gramStart"/>
      <w:r w:rsidRPr="00E806B6">
        <w:t>культурно-развлекательная</w:t>
      </w:r>
      <w:proofErr w:type="gramEnd"/>
      <w:r w:rsidRPr="00E806B6">
        <w:t xml:space="preserve"> и </w:t>
      </w:r>
      <w:proofErr w:type="spellStart"/>
      <w:r w:rsidRPr="00E806B6">
        <w:t>досуговая</w:t>
      </w:r>
      <w:proofErr w:type="spellEnd"/>
      <w:r w:rsidRPr="00E806B6">
        <w:t xml:space="preserve"> сферы.</w:t>
      </w:r>
    </w:p>
    <w:p w:rsidR="00892744" w:rsidRPr="00E806B6" w:rsidRDefault="00892744" w:rsidP="00892744">
      <w:pPr>
        <w:pStyle w:val="11"/>
      </w:pPr>
      <w:r w:rsidRPr="00E806B6">
        <w:t>Туристско-рекреационный кластер в Самарской области в настоящее время представляет собой систему со средним уровнем экономического развития. Туристская инфраструктура области представлена достаточно широко: свыше 100 гостиниц, более 40 санаториев, 122 базы отдыха, 74 детских оздоровительных лагеря. Наличие в области памятников природы (580 объектов), истории (3636 объектов), религиозных объектов, а также значительных культурно-рекреационных возможностей является хорошей предпосылкой для создания востребованных туристских программ.</w:t>
      </w:r>
    </w:p>
    <w:p w:rsidR="00892744" w:rsidRPr="00E806B6" w:rsidRDefault="00892744" w:rsidP="00892744">
      <w:pPr>
        <w:pStyle w:val="11"/>
      </w:pPr>
      <w:r w:rsidRPr="00E806B6">
        <w:t>Важным элементом туристского рынка являются туристские комп</w:t>
      </w:r>
      <w:r w:rsidRPr="00E806B6">
        <w:t>а</w:t>
      </w:r>
      <w:r w:rsidRPr="00E806B6">
        <w:t>нии. В Самарской области на начало 2010 года зарегистрир</w:t>
      </w:r>
      <w:r w:rsidRPr="00E806B6">
        <w:t>о</w:t>
      </w:r>
      <w:r w:rsidRPr="00E806B6">
        <w:t xml:space="preserve">вано более </w:t>
      </w:r>
      <w:r w:rsidRPr="00E806B6">
        <w:br/>
        <w:t>400 турфирм. Около 10% из них являются туроператорами, способными создавать и предлагать собственный туристский продукт.</w:t>
      </w:r>
    </w:p>
    <w:p w:rsidR="00892744" w:rsidRPr="00E806B6" w:rsidRDefault="00892744" w:rsidP="00892744">
      <w:pPr>
        <w:pStyle w:val="11"/>
      </w:pPr>
      <w:r w:rsidRPr="00E806B6">
        <w:t>Среди природных объектов наибольшей туристской привлекательн</w:t>
      </w:r>
      <w:r w:rsidRPr="00E806B6">
        <w:t>о</w:t>
      </w:r>
      <w:r w:rsidRPr="00E806B6">
        <w:t>стью обладает национальный парк «Самарская Лука», а также один из старе</w:t>
      </w:r>
      <w:r w:rsidRPr="00E806B6">
        <w:t>й</w:t>
      </w:r>
      <w:r w:rsidRPr="00E806B6">
        <w:t>ших природных заповедников – Жигулевский государственный природный з</w:t>
      </w:r>
      <w:r w:rsidRPr="00E806B6">
        <w:t>а</w:t>
      </w:r>
      <w:r w:rsidRPr="00E806B6">
        <w:t xml:space="preserve">поведник им. </w:t>
      </w:r>
      <w:proofErr w:type="spellStart"/>
      <w:r w:rsidRPr="00E806B6">
        <w:t>И.И.Спрыгина</w:t>
      </w:r>
      <w:proofErr w:type="spellEnd"/>
      <w:r w:rsidRPr="00E806B6">
        <w:t>. Самарская Лука и Жигулевские горы являются уникальным природным образованием, получившим Междунаро</w:t>
      </w:r>
      <w:r w:rsidRPr="00E806B6">
        <w:t>д</w:t>
      </w:r>
      <w:r w:rsidRPr="00E806B6">
        <w:t xml:space="preserve">ный статус биосферного резервата ЮНЕСКО. Значимость Самарской Луки как </w:t>
      </w:r>
      <w:proofErr w:type="spellStart"/>
      <w:r w:rsidRPr="00E806B6">
        <w:t>имиджео</w:t>
      </w:r>
      <w:r w:rsidRPr="00E806B6">
        <w:t>б</w:t>
      </w:r>
      <w:r w:rsidRPr="00E806B6">
        <w:t>разующей</w:t>
      </w:r>
      <w:proofErr w:type="spellEnd"/>
      <w:r w:rsidRPr="00E806B6">
        <w:t xml:space="preserve"> территориальной доминанты и ядра пространственной организации территории региона достаточно велика. Возрастает и природоохранное знач</w:t>
      </w:r>
      <w:r w:rsidRPr="00E806B6">
        <w:t>е</w:t>
      </w:r>
      <w:r w:rsidRPr="00E806B6">
        <w:t>ние Самарской Луки, обуславливающее необходимость соответствующего з</w:t>
      </w:r>
      <w:r w:rsidRPr="00E806B6">
        <w:t>о</w:t>
      </w:r>
      <w:r w:rsidRPr="00E806B6">
        <w:t>нирования территории с регулированием допустимых видов деятельности в о</w:t>
      </w:r>
      <w:r w:rsidRPr="00E806B6">
        <w:t>п</w:t>
      </w:r>
      <w:r w:rsidRPr="00E806B6">
        <w:t>ределенных зонах. Природным памятником является и уникальный национальный парк «</w:t>
      </w:r>
      <w:proofErr w:type="spellStart"/>
      <w:r w:rsidRPr="00E806B6">
        <w:t>Бузулукский</w:t>
      </w:r>
      <w:proofErr w:type="spellEnd"/>
      <w:r w:rsidRPr="00E806B6">
        <w:t xml:space="preserve"> бор» – крупнейший в мире массив настоящих со</w:t>
      </w:r>
      <w:r w:rsidRPr="00E806B6">
        <w:t>с</w:t>
      </w:r>
      <w:r w:rsidRPr="00E806B6">
        <w:t>новых лесов.</w:t>
      </w:r>
    </w:p>
    <w:p w:rsidR="00892744" w:rsidRPr="00E806B6" w:rsidRDefault="00892744" w:rsidP="00892744">
      <w:pPr>
        <w:pStyle w:val="11"/>
      </w:pPr>
      <w:r w:rsidRPr="00E806B6">
        <w:t>Туристско-рекреационные ресурсы Самарской области включают следующие объекты и территории.</w:t>
      </w:r>
    </w:p>
    <w:p w:rsidR="00892744" w:rsidRPr="00E806B6" w:rsidRDefault="00892744" w:rsidP="00892744">
      <w:pPr>
        <w:pStyle w:val="11"/>
      </w:pPr>
      <w:proofErr w:type="gramStart"/>
      <w:r w:rsidRPr="00E806B6">
        <w:t xml:space="preserve">В Самарской области сформирована сеть особо охраняемых природных территорий (ООПТ) федерального значения, в которую входят Жигулевский государственный природный заповедник им. И.И. </w:t>
      </w:r>
      <w:proofErr w:type="spellStart"/>
      <w:r w:rsidRPr="00E806B6">
        <w:t>Спрыгина</w:t>
      </w:r>
      <w:proofErr w:type="spellEnd"/>
      <w:r w:rsidRPr="00E806B6">
        <w:t xml:space="preserve"> площадью 23,157 тыс. га, Национальный парк </w:t>
      </w:r>
      <w:r w:rsidRPr="00E806B6">
        <w:lastRenderedPageBreak/>
        <w:t xml:space="preserve">«Самарская Лука» площадью 127,186 тыс. га (оба входят в </w:t>
      </w:r>
      <w:proofErr w:type="spellStart"/>
      <w:r w:rsidRPr="00E806B6">
        <w:t>Средне-Волжский</w:t>
      </w:r>
      <w:proofErr w:type="spellEnd"/>
      <w:r w:rsidRPr="00E806B6">
        <w:t xml:space="preserve"> комплексный биосферный резерват ЮНЕСКО), Национальный парк «</w:t>
      </w:r>
      <w:proofErr w:type="spellStart"/>
      <w:r w:rsidRPr="00E806B6">
        <w:t>Бузулукский</w:t>
      </w:r>
      <w:proofErr w:type="spellEnd"/>
      <w:r w:rsidRPr="00E806B6">
        <w:t xml:space="preserve"> бор» площадью 51,288 тыс. га и 11 памятников природы:</w:t>
      </w:r>
      <w:proofErr w:type="gramEnd"/>
      <w:r w:rsidRPr="00E806B6">
        <w:t xml:space="preserve"> </w:t>
      </w:r>
      <w:proofErr w:type="spellStart"/>
      <w:r w:rsidRPr="00E806B6">
        <w:t>Малоусинские</w:t>
      </w:r>
      <w:proofErr w:type="spellEnd"/>
      <w:r w:rsidRPr="00E806B6">
        <w:t xml:space="preserve"> нагорные сосняки и дубравы, </w:t>
      </w:r>
      <w:proofErr w:type="spellStart"/>
      <w:r w:rsidRPr="00E806B6">
        <w:t>Рачейская</w:t>
      </w:r>
      <w:proofErr w:type="spellEnd"/>
      <w:r w:rsidRPr="00E806B6">
        <w:t xml:space="preserve"> тайга, </w:t>
      </w:r>
      <w:proofErr w:type="spellStart"/>
      <w:r w:rsidRPr="00E806B6">
        <w:t>Шиланские</w:t>
      </w:r>
      <w:proofErr w:type="spellEnd"/>
      <w:r w:rsidRPr="00E806B6">
        <w:t xml:space="preserve"> </w:t>
      </w:r>
      <w:proofErr w:type="spellStart"/>
      <w:r w:rsidRPr="00E806B6">
        <w:t>генковские</w:t>
      </w:r>
      <w:proofErr w:type="spellEnd"/>
      <w:r w:rsidRPr="00E806B6">
        <w:t xml:space="preserve"> полосы, </w:t>
      </w:r>
      <w:proofErr w:type="spellStart"/>
      <w:r w:rsidRPr="00E806B6">
        <w:t>Подбельские</w:t>
      </w:r>
      <w:proofErr w:type="spellEnd"/>
      <w:r w:rsidRPr="00E806B6">
        <w:t xml:space="preserve"> пойменные дубравы, </w:t>
      </w:r>
      <w:proofErr w:type="spellStart"/>
      <w:r w:rsidRPr="00E806B6">
        <w:t>Малокинельские</w:t>
      </w:r>
      <w:proofErr w:type="spellEnd"/>
      <w:r w:rsidRPr="00E806B6">
        <w:t xml:space="preserve"> нагорные дубравы, </w:t>
      </w:r>
      <w:proofErr w:type="spellStart"/>
      <w:r w:rsidRPr="00E806B6">
        <w:t>Мочалеевские</w:t>
      </w:r>
      <w:proofErr w:type="spellEnd"/>
      <w:r w:rsidRPr="00E806B6">
        <w:t xml:space="preserve"> нагорные дубравы, </w:t>
      </w:r>
      <w:proofErr w:type="spellStart"/>
      <w:r w:rsidRPr="00E806B6">
        <w:t>Ятмановские</w:t>
      </w:r>
      <w:proofErr w:type="spellEnd"/>
      <w:r w:rsidRPr="00E806B6">
        <w:t xml:space="preserve"> широколиственные леса, </w:t>
      </w:r>
      <w:proofErr w:type="spellStart"/>
      <w:r w:rsidRPr="00E806B6">
        <w:t>Похвистневские</w:t>
      </w:r>
      <w:proofErr w:type="spellEnd"/>
      <w:r w:rsidRPr="00E806B6">
        <w:t xml:space="preserve"> пригородные дубравы, </w:t>
      </w:r>
      <w:proofErr w:type="spellStart"/>
      <w:r w:rsidRPr="00E806B6">
        <w:t>Абдулзаводская</w:t>
      </w:r>
      <w:proofErr w:type="spellEnd"/>
      <w:r w:rsidRPr="00E806B6">
        <w:t xml:space="preserve"> дубрава, </w:t>
      </w:r>
      <w:proofErr w:type="spellStart"/>
      <w:r w:rsidRPr="00E806B6">
        <w:t>Иргизская</w:t>
      </w:r>
      <w:proofErr w:type="spellEnd"/>
      <w:r w:rsidRPr="00E806B6">
        <w:t xml:space="preserve"> пойма, </w:t>
      </w:r>
      <w:proofErr w:type="spellStart"/>
      <w:r w:rsidRPr="00E806B6">
        <w:t>Климовские</w:t>
      </w:r>
      <w:proofErr w:type="spellEnd"/>
      <w:r w:rsidRPr="00E806B6">
        <w:t xml:space="preserve"> нагорные дубравы. Кроме того, в области создано более 200 ООПТ регионального значения. Общая площадь ООПТ Самарской области составляет 240 тыс. га, или 4,5% от общей площади региона.</w:t>
      </w:r>
    </w:p>
    <w:p w:rsidR="00892744" w:rsidRPr="00E806B6" w:rsidRDefault="00892744" w:rsidP="00892744">
      <w:pPr>
        <w:pStyle w:val="11"/>
      </w:pPr>
      <w:r w:rsidRPr="00E806B6">
        <w:t>Помимо этого в области имеются такие рекреационные ресурсы, как:</w:t>
      </w:r>
    </w:p>
    <w:p w:rsidR="00892744" w:rsidRPr="00E806B6" w:rsidRDefault="00892744" w:rsidP="00892744">
      <w:pPr>
        <w:pStyle w:val="11"/>
      </w:pPr>
      <w:r w:rsidRPr="00E806B6">
        <w:t>1.</w:t>
      </w:r>
      <w:r w:rsidRPr="00E806B6">
        <w:tab/>
        <w:t>Сергиевские минеральные воды.</w:t>
      </w:r>
    </w:p>
    <w:p w:rsidR="00892744" w:rsidRPr="00E806B6" w:rsidRDefault="00892744" w:rsidP="00892744">
      <w:pPr>
        <w:pStyle w:val="11"/>
      </w:pPr>
      <w:r w:rsidRPr="00E806B6">
        <w:t>2.</w:t>
      </w:r>
      <w:r w:rsidRPr="00E806B6">
        <w:tab/>
        <w:t xml:space="preserve">Грязевые источники – </w:t>
      </w:r>
      <w:proofErr w:type="spellStart"/>
      <w:r w:rsidRPr="00E806B6">
        <w:t>Исаклинский</w:t>
      </w:r>
      <w:proofErr w:type="spellEnd"/>
      <w:r w:rsidRPr="00E806B6">
        <w:t xml:space="preserve"> район.</w:t>
      </w:r>
    </w:p>
    <w:p w:rsidR="00892744" w:rsidRPr="00E806B6" w:rsidRDefault="00892744" w:rsidP="00892744">
      <w:pPr>
        <w:pStyle w:val="11"/>
      </w:pPr>
      <w:r w:rsidRPr="00E806B6">
        <w:t>В ноябре 2010 года распоряжением Правительства РФ в целях организации территории национального парка «</w:t>
      </w:r>
      <w:proofErr w:type="spellStart"/>
      <w:r w:rsidRPr="00E806B6">
        <w:t>Бузулукский</w:t>
      </w:r>
      <w:proofErr w:type="spellEnd"/>
      <w:r w:rsidRPr="00E806B6">
        <w:t xml:space="preserve"> бор» более 50 тысяч гектаров земель лесного фонда Самарской области приобрели статус земель особо охраняемых природных территорий.</w:t>
      </w:r>
    </w:p>
    <w:p w:rsidR="00892744" w:rsidRPr="00E806B6" w:rsidRDefault="00892744" w:rsidP="00892744">
      <w:pPr>
        <w:pStyle w:val="11"/>
      </w:pPr>
      <w:r w:rsidRPr="00E806B6">
        <w:t xml:space="preserve">Ожидаемое экспертами формирование туристского кольца всероссийского и международного значения «Великая Волга» на базе реализации крупных инвестиционных проектов в </w:t>
      </w:r>
      <w:proofErr w:type="spellStart"/>
      <w:r w:rsidRPr="00E806B6">
        <w:t>туристко-рекреационный</w:t>
      </w:r>
      <w:proofErr w:type="spellEnd"/>
      <w:r w:rsidRPr="00E806B6">
        <w:t xml:space="preserve"> сфере может дать новый импульс развитию туризма в Самарской области. Участниками этого проекта станут все субъекты Российской Федерации, по территории которых протекают реки Волга и Кама. На территории Приволжского федерального округа наиболее значимыми звеньями туристского кольца станут крупнейшие города, в том числе Самара. </w:t>
      </w:r>
    </w:p>
    <w:p w:rsidR="00892744" w:rsidRPr="00E806B6" w:rsidRDefault="00892744" w:rsidP="00892744">
      <w:pPr>
        <w:pStyle w:val="11"/>
      </w:pPr>
    </w:p>
    <w:p w:rsidR="00892744" w:rsidRPr="00E806B6" w:rsidRDefault="00892744" w:rsidP="00892744">
      <w:pPr>
        <w:spacing w:after="0" w:line="240" w:lineRule="auto"/>
        <w:ind w:firstLine="709"/>
        <w:jc w:val="both"/>
        <w:rPr>
          <w:rFonts w:ascii="Times New Roman" w:hAnsi="Times New Roman"/>
          <w:b/>
          <w:sz w:val="24"/>
          <w:szCs w:val="24"/>
        </w:rPr>
      </w:pPr>
      <w:r w:rsidRPr="00E806B6">
        <w:rPr>
          <w:rFonts w:ascii="Times New Roman" w:hAnsi="Times New Roman"/>
          <w:b/>
          <w:sz w:val="24"/>
          <w:szCs w:val="24"/>
        </w:rPr>
        <w:t>5.2.3.3. Основные показатели и тенденции кластера</w:t>
      </w:r>
    </w:p>
    <w:p w:rsidR="00892744" w:rsidRPr="00E806B6" w:rsidRDefault="00892744" w:rsidP="00892744">
      <w:pPr>
        <w:pStyle w:val="11"/>
      </w:pPr>
    </w:p>
    <w:p w:rsidR="00892744" w:rsidRPr="00E806B6" w:rsidRDefault="00892744" w:rsidP="00892744">
      <w:pPr>
        <w:pStyle w:val="11"/>
      </w:pPr>
      <w:r w:rsidRPr="00E806B6">
        <w:t xml:space="preserve">Туристский рынок Самарской области по обороту занимает четвертое место после Москвы, Санкт-Петербурга и Екатеринбурга. Объем рынка туристских услуг в Самарской области по разным оценкам составляет свыше 40 млрд. руб. </w:t>
      </w:r>
    </w:p>
    <w:p w:rsidR="00892744" w:rsidRPr="00E806B6" w:rsidRDefault="00892744" w:rsidP="00892744">
      <w:pPr>
        <w:pStyle w:val="11"/>
      </w:pPr>
      <w:r w:rsidRPr="00E806B6">
        <w:t xml:space="preserve">В 2010 году Самарскую область посетили 445,2 тыс. туристов, </w:t>
      </w:r>
      <w:r w:rsidRPr="00E806B6">
        <w:br/>
        <w:t>в 2011 году ожидаемое посещение составит 540,8 т</w:t>
      </w:r>
      <w:r w:rsidRPr="00E806B6">
        <w:t>ы</w:t>
      </w:r>
      <w:r w:rsidRPr="00E806B6">
        <w:t xml:space="preserve">с. туристов. </w:t>
      </w:r>
    </w:p>
    <w:p w:rsidR="00892744" w:rsidRPr="00E806B6" w:rsidRDefault="00892744" w:rsidP="00892744">
      <w:pPr>
        <w:pStyle w:val="11"/>
      </w:pPr>
      <w:r w:rsidRPr="00E806B6">
        <w:t xml:space="preserve">В 2010 году только по туристским путевкам из Самарской области за рубеж выехало более 36144 человек. </w:t>
      </w:r>
    </w:p>
    <w:p w:rsidR="00892744" w:rsidRPr="00E806B6" w:rsidRDefault="00892744" w:rsidP="00892744">
      <w:pPr>
        <w:pStyle w:val="11"/>
        <w:ind w:firstLine="720"/>
        <w:rPr>
          <w:i/>
          <w:sz w:val="20"/>
        </w:rPr>
      </w:pPr>
      <w:r w:rsidRPr="00E806B6">
        <w:t xml:space="preserve">Важным показателем деятельности турфирм является размер среднегодовой выручки от оказания туристских услуг. </w:t>
      </w:r>
    </w:p>
    <w:p w:rsidR="00892744" w:rsidRPr="00E806B6" w:rsidRDefault="00892744" w:rsidP="00892744">
      <w:pPr>
        <w:pStyle w:val="11"/>
      </w:pPr>
      <w:r w:rsidRPr="00E806B6">
        <w:t>По данным Росстата в 2010 году размер выручки самарских туристских фирм составил свыше 820 млн. руб., что на 288 млн. руб. выше, чем в предшествующем году. При сохранении указанных темпов в конце стратегического периода размер выручки может достичь 2 млрд. руб. при инерционном сценарии развития и 15 млрд. руб. при сценарии роста.</w:t>
      </w:r>
    </w:p>
    <w:p w:rsidR="00892744" w:rsidRPr="00E806B6" w:rsidRDefault="00892744" w:rsidP="00892744">
      <w:pPr>
        <w:pStyle w:val="11"/>
      </w:pPr>
      <w:r w:rsidRPr="00E806B6">
        <w:t>Внутренний туризм в Самарской области менее развит, чем зарубе</w:t>
      </w:r>
      <w:r w:rsidRPr="00E806B6">
        <w:t>ж</w:t>
      </w:r>
      <w:r w:rsidRPr="00E806B6">
        <w:t>ный. Доля клиентов, отдающих предпочтение турам по Самарской области, не превышает 6%. Общий объем выездного туризма по итогам 2011 года составляет около 4,5 млрд. рублей в год. Только для 10,9% туристских компаний внутренний туризм является основным направлением работы. В основном это компании, для которых внутренний туристский поток составляет более 50%. 17,3% компаний не работают на этом направлении вообще, а для большинства компаний (51,3%) внутренний туристский поток не составляет и 30% от общего объема обслуживаемых клие</w:t>
      </w:r>
      <w:r w:rsidRPr="00E806B6">
        <w:t>н</w:t>
      </w:r>
      <w:r w:rsidRPr="00E806B6">
        <w:t>тов.</w:t>
      </w:r>
    </w:p>
    <w:p w:rsidR="00892744" w:rsidRPr="00E806B6" w:rsidRDefault="00892744" w:rsidP="00892744">
      <w:pPr>
        <w:pStyle w:val="11"/>
      </w:pPr>
      <w:r w:rsidRPr="00E806B6">
        <w:t xml:space="preserve">В сложившейся ситуации к Самаре давно испытывают интерес крупнейшие российские  туроператоры, отдельные представители которых открывают в регионе свои представительства, либо </w:t>
      </w:r>
      <w:proofErr w:type="spellStart"/>
      <w:r w:rsidRPr="00E806B6">
        <w:t>презентируют</w:t>
      </w:r>
      <w:proofErr w:type="spellEnd"/>
      <w:r w:rsidRPr="00E806B6">
        <w:t xml:space="preserve"> подобные намерения. В любом случае, это </w:t>
      </w:r>
      <w:r w:rsidRPr="00E806B6">
        <w:lastRenderedPageBreak/>
        <w:t>свидетельствует о значительном потенциале роста числа турфирм в Самаре, а спектр их услуг существенно расширяется.</w:t>
      </w:r>
    </w:p>
    <w:p w:rsidR="00892744" w:rsidRPr="00E806B6" w:rsidRDefault="00892744" w:rsidP="00892744">
      <w:pPr>
        <w:pStyle w:val="11"/>
      </w:pPr>
      <w:r w:rsidRPr="00E806B6">
        <w:t>Инфраструктура туризма в Самарской области за последние годы сущ</w:t>
      </w:r>
      <w:r w:rsidRPr="00E806B6">
        <w:t>е</w:t>
      </w:r>
      <w:r w:rsidRPr="00E806B6">
        <w:t>ственно изменилась и насчитывает по данным Федеральной службы государс</w:t>
      </w:r>
      <w:r w:rsidRPr="00E806B6">
        <w:t>т</w:t>
      </w:r>
      <w:r w:rsidRPr="00E806B6">
        <w:t>венной статистики за 2010 год 112 гостиниц и аналогичных средств размещения. На рынке гостиничных у</w:t>
      </w:r>
      <w:r w:rsidRPr="00E806B6">
        <w:t>с</w:t>
      </w:r>
      <w:r w:rsidRPr="00E806B6">
        <w:t>луг Самарской области практически отсутствует сегмент «бюджетных» предложений. Это является одним из факторов, препя</w:t>
      </w:r>
      <w:r w:rsidRPr="00E806B6">
        <w:t>т</w:t>
      </w:r>
      <w:r w:rsidRPr="00E806B6">
        <w:t>ствующих активному развитию туристской отрасли в Самарской области, так как отдых оказывается недоступен туристам из других областей. По мнению экспертов, именно небольшие по количеству номеров гостиницы, предлагающие номера в нижнем ценовом диапазоне – наиболее вероятный и перспективный сегмент развития гостини</w:t>
      </w:r>
      <w:r w:rsidRPr="00E806B6">
        <w:t>ч</w:t>
      </w:r>
      <w:r w:rsidRPr="00E806B6">
        <w:t>ного рынка Самарской области.</w:t>
      </w:r>
    </w:p>
    <w:p w:rsidR="00892744" w:rsidRPr="00E806B6" w:rsidRDefault="00892744" w:rsidP="00892744">
      <w:pPr>
        <w:pStyle w:val="11"/>
      </w:pPr>
      <w:r w:rsidRPr="00E806B6">
        <w:t xml:space="preserve">Еще одна проблема номерного фонда Самарской области заключается </w:t>
      </w:r>
      <w:r w:rsidRPr="00E806B6">
        <w:br/>
        <w:t>в отсутствии соответствующих предложений для делового туризма. Обладая высоким промышленным и ресурсным потенциалом, Самарская область явл</w:t>
      </w:r>
      <w:r w:rsidRPr="00E806B6">
        <w:t>я</w:t>
      </w:r>
      <w:r w:rsidRPr="00E806B6">
        <w:t xml:space="preserve">ется одним из деловых центров Российской Федерации, привлекая внимание как представителей бизнеса из других областей, </w:t>
      </w:r>
      <w:proofErr w:type="gramStart"/>
      <w:r w:rsidRPr="00E806B6">
        <w:t>г</w:t>
      </w:r>
      <w:proofErr w:type="gramEnd"/>
      <w:r w:rsidRPr="00E806B6">
        <w:t xml:space="preserve">. Москвы и г. Санкт-Петербурга, так и представителей иностранного бизнеса. Однако гостиничный бизнес г. Самары и области в целом не обеспечивает достаточного количества помещений для организации </w:t>
      </w:r>
      <w:proofErr w:type="spellStart"/>
      <w:proofErr w:type="gramStart"/>
      <w:r w:rsidRPr="00E806B6">
        <w:t>бизнес-мероприятий</w:t>
      </w:r>
      <w:proofErr w:type="spellEnd"/>
      <w:proofErr w:type="gramEnd"/>
      <w:r w:rsidRPr="00E806B6">
        <w:t>. Это создает проблемы особенно в сфере организации конгрессов или конференций межд</w:t>
      </w:r>
      <w:r w:rsidRPr="00E806B6">
        <w:t>у</w:t>
      </w:r>
      <w:r w:rsidRPr="00E806B6">
        <w:t>народного уровня с числом участников более 150 человек. Данные проблемы связаны с отсутствием помещений достаточного размера для проведения собраний. Нар</w:t>
      </w:r>
      <w:r w:rsidRPr="00E806B6">
        <w:t>я</w:t>
      </w:r>
      <w:r w:rsidRPr="00E806B6">
        <w:t>ду с этим ограничены возможности комфортного и компактного расселения приезжающих.</w:t>
      </w:r>
    </w:p>
    <w:p w:rsidR="00892744" w:rsidRPr="00E806B6" w:rsidRDefault="00892744" w:rsidP="00892744">
      <w:pPr>
        <w:pStyle w:val="11"/>
      </w:pPr>
      <w:r w:rsidRPr="00E806B6">
        <w:t>Появление необходимых бизнесу возможностей организации меропри</w:t>
      </w:r>
      <w:r w:rsidRPr="00E806B6">
        <w:t>я</w:t>
      </w:r>
      <w:r w:rsidRPr="00E806B6">
        <w:t xml:space="preserve">тий, рассчитанных на большое число участников, активизировало бы потоки </w:t>
      </w:r>
      <w:proofErr w:type="spellStart"/>
      <w:proofErr w:type="gramStart"/>
      <w:r w:rsidRPr="00E806B6">
        <w:t>бизнес-туристов</w:t>
      </w:r>
      <w:proofErr w:type="spellEnd"/>
      <w:proofErr w:type="gramEnd"/>
      <w:r w:rsidRPr="00E806B6">
        <w:t>, цель приезда которых в Самарскую область заключается в участии в работе конференций и конгрессов.</w:t>
      </w:r>
    </w:p>
    <w:p w:rsidR="00892744" w:rsidRPr="00E806B6" w:rsidRDefault="00892744" w:rsidP="00892744">
      <w:pPr>
        <w:pStyle w:val="11"/>
      </w:pPr>
      <w:proofErr w:type="gramStart"/>
      <w:r w:rsidRPr="00E806B6">
        <w:t>Под данным опроса, 55% респондентов готовы отдыхать в Самарской о</w:t>
      </w:r>
      <w:r w:rsidRPr="00E806B6">
        <w:t>б</w:t>
      </w:r>
      <w:r w:rsidRPr="00E806B6">
        <w:t>ласти, но не находят соответствующих их ожиданиям предложений.</w:t>
      </w:r>
      <w:proofErr w:type="gramEnd"/>
      <w:r w:rsidRPr="00E806B6">
        <w:t xml:space="preserve"> В первую очередь, это связано с низким качеством предлагаемых туристских услуг и качеством, не соответствующим расценкам. Это дает возможность дальнейшего роста рынка внутреннего туризма, однако требует от туроперат</w:t>
      </w:r>
      <w:r w:rsidRPr="00E806B6">
        <w:t>о</w:t>
      </w:r>
      <w:r w:rsidRPr="00E806B6">
        <w:t>ров значительной работы по разработке новых туристских программ и усоверше</w:t>
      </w:r>
      <w:r w:rsidRPr="00E806B6">
        <w:t>н</w:t>
      </w:r>
      <w:r w:rsidRPr="00E806B6">
        <w:t xml:space="preserve">ствованию уже имеющихся. </w:t>
      </w:r>
    </w:p>
    <w:p w:rsidR="00892744" w:rsidRPr="00E806B6" w:rsidRDefault="00892744" w:rsidP="00892744">
      <w:pPr>
        <w:pStyle w:val="11"/>
      </w:pPr>
      <w:r w:rsidRPr="00E806B6">
        <w:t>Несмотря на постоянное расширение ассортимента туров, количество у</w:t>
      </w:r>
      <w:r w:rsidRPr="00E806B6">
        <w:t>с</w:t>
      </w:r>
      <w:r w:rsidRPr="00E806B6">
        <w:t>луг, предоставляемых объектами туристской индустрии, влияющих на привл</w:t>
      </w:r>
      <w:r w:rsidRPr="00E806B6">
        <w:t>е</w:t>
      </w:r>
      <w:r w:rsidRPr="00E806B6">
        <w:t>кательность Самарской области с позиции развития въездного туризма, на пр</w:t>
      </w:r>
      <w:r w:rsidRPr="00E806B6">
        <w:t>о</w:t>
      </w:r>
      <w:r w:rsidRPr="00E806B6">
        <w:t>тяжении нескольких последних лет колеблется в районе 7%, демонстрируя н</w:t>
      </w:r>
      <w:r w:rsidRPr="00E806B6">
        <w:t>е</w:t>
      </w:r>
      <w:r w:rsidRPr="00E806B6">
        <w:t>большой рост.</w:t>
      </w:r>
    </w:p>
    <w:p w:rsidR="00892744" w:rsidRPr="00E806B6" w:rsidRDefault="00892744" w:rsidP="00892744">
      <w:pPr>
        <w:pStyle w:val="11"/>
      </w:pPr>
      <w:r w:rsidRPr="00276DD9">
        <w:rPr>
          <w:highlight w:val="yellow"/>
        </w:rPr>
        <w:t>Эффективность гостиничного бизнеса во многом зависит от загрузки гостиниц. Согласно данным статистики коэффициент загрузки самарских средств размещения гостиничного типа составляет от 28 до 40%. Для повыш</w:t>
      </w:r>
      <w:r w:rsidRPr="00276DD9">
        <w:rPr>
          <w:highlight w:val="yellow"/>
        </w:rPr>
        <w:t>е</w:t>
      </w:r>
      <w:r w:rsidRPr="00276DD9">
        <w:rPr>
          <w:highlight w:val="yellow"/>
        </w:rPr>
        <w:t xml:space="preserve">ния коэффициента загрузки необходимо проведение комплекса мероприятий </w:t>
      </w:r>
      <w:r w:rsidRPr="00276DD9">
        <w:rPr>
          <w:highlight w:val="yellow"/>
          <w:u w:val="single"/>
        </w:rPr>
        <w:t>по разумному снижению стоимости проживания</w:t>
      </w:r>
      <w:r w:rsidRPr="00276DD9">
        <w:rPr>
          <w:highlight w:val="yellow"/>
        </w:rPr>
        <w:t xml:space="preserve">, </w:t>
      </w:r>
      <w:r w:rsidRPr="00276DD9">
        <w:rPr>
          <w:highlight w:val="yellow"/>
          <w:u w:val="single"/>
        </w:rPr>
        <w:t>улучшению качества обслуживания</w:t>
      </w:r>
      <w:r w:rsidRPr="00276DD9">
        <w:rPr>
          <w:highlight w:val="yellow"/>
        </w:rPr>
        <w:t xml:space="preserve"> и увеличению привл</w:t>
      </w:r>
      <w:r w:rsidRPr="00276DD9">
        <w:rPr>
          <w:highlight w:val="yellow"/>
        </w:rPr>
        <w:t>е</w:t>
      </w:r>
      <w:r w:rsidRPr="00276DD9">
        <w:rPr>
          <w:highlight w:val="yellow"/>
        </w:rPr>
        <w:t>кательности региона в целом.</w:t>
      </w:r>
    </w:p>
    <w:p w:rsidR="00892744" w:rsidRPr="00E806B6" w:rsidRDefault="00892744" w:rsidP="00892744">
      <w:pPr>
        <w:pStyle w:val="11"/>
      </w:pPr>
      <w:r w:rsidRPr="00E806B6">
        <w:t xml:space="preserve">Растет количество развлекательных заведений, из которых 70% находятся в </w:t>
      </w:r>
      <w:proofErr w:type="gramStart"/>
      <w:r w:rsidRPr="00E806B6">
        <w:t>г</w:t>
      </w:r>
      <w:proofErr w:type="gramEnd"/>
      <w:r w:rsidRPr="00E806B6">
        <w:t>. Самаре и г. Тольятти.</w:t>
      </w:r>
    </w:p>
    <w:p w:rsidR="00892744" w:rsidRPr="00E806B6" w:rsidRDefault="00892744" w:rsidP="00892744">
      <w:pPr>
        <w:pStyle w:val="11"/>
      </w:pPr>
      <w:r w:rsidRPr="00E806B6">
        <w:t>В целом по основным показателям развития сферы туризма Самарская область занимает ведущее положение среди регионов Приволжского федерального округа наряду с республиками Татарстан и Башкортостан.</w:t>
      </w:r>
    </w:p>
    <w:p w:rsidR="00892744" w:rsidRPr="00E806B6" w:rsidRDefault="00892744" w:rsidP="00892744">
      <w:pPr>
        <w:pStyle w:val="11"/>
      </w:pPr>
      <w:r w:rsidRPr="00E806B6">
        <w:t>Транспортная составляющая в туристской инфраструктуре представлена в Самаре крупным ави</w:t>
      </w:r>
      <w:proofErr w:type="gramStart"/>
      <w:r w:rsidRPr="00E806B6">
        <w:t>а-</w:t>
      </w:r>
      <w:proofErr w:type="gramEnd"/>
      <w:r w:rsidRPr="00E806B6">
        <w:t xml:space="preserve"> и железнодорожным узлом России. Чартерные рейсы выездного туризма производятся из международного аэропорта </w:t>
      </w:r>
      <w:proofErr w:type="spellStart"/>
      <w:r w:rsidRPr="00E806B6">
        <w:t>Курумоч</w:t>
      </w:r>
      <w:proofErr w:type="spellEnd"/>
      <w:r w:rsidRPr="00E806B6">
        <w:t>, который является одним их крупнейших в Европе. Водная акватория Волги является местом проведения речных круизов по широкому спектру маршрутов.</w:t>
      </w:r>
    </w:p>
    <w:p w:rsidR="00892744" w:rsidRPr="00E806B6" w:rsidRDefault="00892744" w:rsidP="00892744">
      <w:pPr>
        <w:pStyle w:val="11"/>
      </w:pPr>
    </w:p>
    <w:p w:rsidR="00892744" w:rsidRPr="00E806B6" w:rsidRDefault="00892744" w:rsidP="00892744">
      <w:pPr>
        <w:spacing w:after="0" w:line="240" w:lineRule="auto"/>
        <w:ind w:firstLine="709"/>
        <w:jc w:val="both"/>
        <w:rPr>
          <w:rFonts w:ascii="Times New Roman" w:hAnsi="Times New Roman"/>
          <w:b/>
          <w:sz w:val="24"/>
          <w:szCs w:val="24"/>
        </w:rPr>
      </w:pPr>
    </w:p>
    <w:p w:rsidR="00892744" w:rsidRPr="00E806B6" w:rsidRDefault="00892744" w:rsidP="00892744">
      <w:pPr>
        <w:spacing w:after="0" w:line="240" w:lineRule="auto"/>
        <w:ind w:firstLine="709"/>
        <w:jc w:val="both"/>
        <w:rPr>
          <w:rFonts w:ascii="Times New Roman" w:hAnsi="Times New Roman"/>
          <w:b/>
          <w:sz w:val="24"/>
          <w:szCs w:val="24"/>
        </w:rPr>
      </w:pPr>
      <w:r w:rsidRPr="00E806B6">
        <w:rPr>
          <w:rFonts w:ascii="Times New Roman" w:hAnsi="Times New Roman"/>
          <w:b/>
          <w:sz w:val="24"/>
          <w:szCs w:val="24"/>
        </w:rPr>
        <w:t>5.2.3.4. Ключевые проблемы кластера</w:t>
      </w:r>
    </w:p>
    <w:p w:rsidR="00892744" w:rsidRPr="00E806B6" w:rsidRDefault="00892744" w:rsidP="00892744">
      <w:pPr>
        <w:pStyle w:val="11"/>
      </w:pPr>
    </w:p>
    <w:p w:rsidR="00892744" w:rsidRPr="00E806B6" w:rsidRDefault="00892744" w:rsidP="00892744">
      <w:pPr>
        <w:pStyle w:val="11"/>
      </w:pPr>
      <w:r w:rsidRPr="00E806B6">
        <w:t>Анализ факторов, таких как географическое положение, инженерная и транспортная инфраструктура, природные ресурсы и экологические условия, инфраструктура рынка, информационное пространство и иных, выявляет сильные и слабые стороны развития туристского кластера в Самарской области.</w:t>
      </w:r>
    </w:p>
    <w:p w:rsidR="00892744" w:rsidRPr="00E806B6" w:rsidRDefault="00892744" w:rsidP="00892744">
      <w:pPr>
        <w:pStyle w:val="11"/>
      </w:pPr>
      <w:r w:rsidRPr="00E806B6">
        <w:t xml:space="preserve">Имея выгодное экономическое и географическое положение, Самарская </w:t>
      </w:r>
      <w:proofErr w:type="gramStart"/>
      <w:r w:rsidRPr="00E806B6">
        <w:t>область</w:t>
      </w:r>
      <w:proofErr w:type="gramEnd"/>
      <w:r w:rsidRPr="00E806B6">
        <w:t xml:space="preserve"> тем не менее уступает по объему въездного туризма Татарстану, Нижнему Новгороду и таким лидерам российского туризма, как Москва, Санкт-Петербург и города "Золотого кольца России".</w:t>
      </w:r>
    </w:p>
    <w:p w:rsidR="00892744" w:rsidRPr="00E806B6" w:rsidRDefault="00892744" w:rsidP="00892744">
      <w:pPr>
        <w:pStyle w:val="11"/>
      </w:pPr>
      <w:r w:rsidRPr="00E806B6">
        <w:t>Анализируя этот факт, можно сказать, что причиной недостаточного роста въездных туристских потоков является отсутствие четко сформированной системы взаимодействия между вовлеченными в процесс образования туристского предложения отраслями. Внутренний туризм зачастую воспринимается участниками туристского рынка как малоэффективное направление ввиду наличия значительного количества инфраструктурных издержек, повышенной степени риска частных вложений, отсутствия государственных гарантий безопасности деятельности.</w:t>
      </w:r>
    </w:p>
    <w:p w:rsidR="00892744" w:rsidRPr="00E806B6" w:rsidRDefault="00892744" w:rsidP="00892744">
      <w:pPr>
        <w:pStyle w:val="11"/>
      </w:pPr>
      <w:r w:rsidRPr="00E806B6">
        <w:t>Также в качестве проблемы кластера выделяется недостаточный уровень развития механизмов государственной поддержки развития и финансирования туристского обслуживания и низкая фондоотдача объектов туристской инфраструктуры. Как следствие, в Самарской области наблюдается неудовлетворительное состояние автомобильных дорог, ведущих к туристическим объектам, отсутствие специальных оборудованных стоянок, отсутствие стендов-карт, указывающих местоположение туристических объектов, и разметки туристических маршрутов и т.д.</w:t>
      </w:r>
    </w:p>
    <w:p w:rsidR="00892744" w:rsidRPr="00E806B6" w:rsidRDefault="00892744" w:rsidP="00892744">
      <w:pPr>
        <w:pStyle w:val="11"/>
      </w:pPr>
      <w:r w:rsidRPr="00276DD9">
        <w:rPr>
          <w:highlight w:val="yellow"/>
        </w:rPr>
        <w:t>При этом наблюдается несоответствие туристского потенциала и сложившейся системы торговли и потребительских услуг в сфере туризма.</w:t>
      </w:r>
      <w:r w:rsidRPr="00E806B6">
        <w:t xml:space="preserve"> Например, отсутствие обустроенных береговых зон. Это приводит к невозможности обеспечения нормальной загрузки продуктов питания в четырехпалубные или любые другие большие суда. Грузовым автомобилям приходится разгружаться в районе набережной и оттуда с помощью грузчиков переносить продукты на теплоход. Аналогично, проблемой является и развитие береговой инфраструктуры. По прибытии теплоходов к месту экскурсии туристам негде купить сувениры. В наличии имеется ограниченное количество временных торговых точек, но назвать их полноценным представлением города и области нельзя. </w:t>
      </w:r>
    </w:p>
    <w:p w:rsidR="00892744" w:rsidRPr="00E806B6" w:rsidRDefault="00892744" w:rsidP="00892744">
      <w:pPr>
        <w:pStyle w:val="11"/>
      </w:pPr>
      <w:r w:rsidRPr="00E806B6">
        <w:t>Обновление парка речных судов является проблемой национального масштаба, поскольку в России речные суда не производятся. Стоимость строительства современного теплохода 40 млн. евро, срок окупаемости 35 лет, период эксплуатации – 50 лет.</w:t>
      </w:r>
    </w:p>
    <w:p w:rsidR="00892744" w:rsidRPr="00E806B6" w:rsidRDefault="00892744" w:rsidP="00892744">
      <w:pPr>
        <w:pStyle w:val="11"/>
      </w:pPr>
      <w:r w:rsidRPr="00E806B6">
        <w:t>Все это приводит к тому, что за последние 4 года зафиксировано относительное снижение темпов роста въездного и внутреннего туристского потока, который в среднем по Самарской области составляет около 10 % ежегодно.</w:t>
      </w:r>
    </w:p>
    <w:p w:rsidR="00892744" w:rsidRPr="00E806B6" w:rsidRDefault="00892744" w:rsidP="00892744">
      <w:pPr>
        <w:pStyle w:val="11"/>
      </w:pPr>
    </w:p>
    <w:p w:rsidR="00892744" w:rsidRPr="00E806B6" w:rsidRDefault="00892744" w:rsidP="00892744">
      <w:pPr>
        <w:spacing w:after="0" w:line="240" w:lineRule="auto"/>
        <w:ind w:firstLine="709"/>
        <w:jc w:val="both"/>
        <w:rPr>
          <w:rFonts w:ascii="Times New Roman" w:hAnsi="Times New Roman"/>
          <w:b/>
          <w:sz w:val="24"/>
          <w:szCs w:val="24"/>
        </w:rPr>
      </w:pPr>
      <w:r w:rsidRPr="00E806B6">
        <w:rPr>
          <w:rFonts w:ascii="Times New Roman" w:hAnsi="Times New Roman"/>
          <w:b/>
          <w:sz w:val="24"/>
          <w:szCs w:val="24"/>
        </w:rPr>
        <w:t>5.2.3.5. Основные направления и мероприятия по развитию кластера</w:t>
      </w:r>
    </w:p>
    <w:p w:rsidR="00892744" w:rsidRPr="00E806B6" w:rsidRDefault="00892744" w:rsidP="00892744">
      <w:pPr>
        <w:pStyle w:val="11"/>
      </w:pPr>
    </w:p>
    <w:p w:rsidR="00892744" w:rsidRPr="00E806B6" w:rsidRDefault="00892744" w:rsidP="00892744">
      <w:pPr>
        <w:pStyle w:val="11"/>
      </w:pPr>
      <w:r w:rsidRPr="00E806B6">
        <w:t xml:space="preserve">Основной целью настоящей Стратегии является внедрение в Самарской области системы устойчивого развития туризма, при которой открываются возможности создания долговременных благоприятных условий для его развития при одновременном сохранении природных ресурсов и социально-культурных ценностей общества. Целью устойчивого туризма является достижение высокого уровня жизни на основе экономического роста при условии сохранения экологических, культурных и природных ресурсов общества. Категория устойчивого туризма отражает современные мировые </w:t>
      </w:r>
      <w:r w:rsidRPr="00E806B6">
        <w:lastRenderedPageBreak/>
        <w:t>тенденции общественного развития, когда основным условием экономического роста становится сохранность природных и культурных ценностей.</w:t>
      </w:r>
    </w:p>
    <w:p w:rsidR="00892744" w:rsidRPr="00E806B6" w:rsidRDefault="00892744" w:rsidP="00892744">
      <w:pPr>
        <w:pStyle w:val="11"/>
      </w:pPr>
      <w:r w:rsidRPr="00E806B6">
        <w:t>В этой связи можно обозначить следующие цели развития туристско-рекреационного кластера:</w:t>
      </w:r>
    </w:p>
    <w:p w:rsidR="00892744" w:rsidRPr="00E806B6" w:rsidRDefault="00892744" w:rsidP="00892744">
      <w:pPr>
        <w:pStyle w:val="11"/>
      </w:pPr>
      <w:r w:rsidRPr="00E806B6">
        <w:t>1. Повышение степени привлекательности внутреннего туризма.</w:t>
      </w:r>
    </w:p>
    <w:p w:rsidR="00892744" w:rsidRPr="00E806B6" w:rsidRDefault="00892744" w:rsidP="00892744">
      <w:pPr>
        <w:pStyle w:val="11"/>
      </w:pPr>
      <w:r w:rsidRPr="00E806B6">
        <w:t xml:space="preserve">2. Повышение уровня доходности туристского обслуживания. </w:t>
      </w:r>
    </w:p>
    <w:p w:rsidR="00892744" w:rsidRPr="00E806B6" w:rsidRDefault="00892744" w:rsidP="00892744">
      <w:pPr>
        <w:pStyle w:val="11"/>
      </w:pPr>
      <w:r w:rsidRPr="00E806B6">
        <w:t>3. Увеличение объемов въездного туризма.</w:t>
      </w:r>
    </w:p>
    <w:p w:rsidR="00892744" w:rsidRPr="00E806B6" w:rsidRDefault="00892744" w:rsidP="00892744">
      <w:pPr>
        <w:pStyle w:val="11"/>
      </w:pPr>
      <w:r w:rsidRPr="00E806B6">
        <w:t xml:space="preserve">4. Освоение новых территорий в целях развития </w:t>
      </w:r>
      <w:proofErr w:type="gramStart"/>
      <w:r w:rsidRPr="00E806B6">
        <w:t>туризма</w:t>
      </w:r>
      <w:proofErr w:type="gramEnd"/>
      <w:r w:rsidRPr="00E806B6">
        <w:t xml:space="preserve"> как в черте города Самары, так и за ее пределами.</w:t>
      </w:r>
    </w:p>
    <w:p w:rsidR="00892744" w:rsidRPr="00E806B6" w:rsidRDefault="00892744" w:rsidP="00892744">
      <w:pPr>
        <w:pStyle w:val="11"/>
      </w:pPr>
      <w:r w:rsidRPr="00E806B6">
        <w:t xml:space="preserve">5. Объединение Самарской области и прилежащих областей в </w:t>
      </w:r>
      <w:proofErr w:type="gramStart"/>
      <w:r w:rsidRPr="00E806B6">
        <w:t>единый</w:t>
      </w:r>
      <w:proofErr w:type="gramEnd"/>
      <w:r w:rsidRPr="00E806B6">
        <w:t xml:space="preserve"> </w:t>
      </w:r>
      <w:proofErr w:type="spellStart"/>
      <w:r w:rsidRPr="00E806B6">
        <w:t>туркомплекс</w:t>
      </w:r>
      <w:proofErr w:type="spellEnd"/>
      <w:r w:rsidRPr="00E806B6">
        <w:t>.</w:t>
      </w:r>
    </w:p>
    <w:p w:rsidR="00892744" w:rsidRPr="00E806B6" w:rsidRDefault="00892744" w:rsidP="00892744">
      <w:pPr>
        <w:pStyle w:val="11"/>
      </w:pPr>
      <w:r w:rsidRPr="00E806B6">
        <w:t>6. Увеличение пропускной способности каналов туристского обслуживания на всех уровнях</w:t>
      </w:r>
    </w:p>
    <w:p w:rsidR="00892744" w:rsidRPr="00E806B6" w:rsidRDefault="00892744" w:rsidP="00892744">
      <w:pPr>
        <w:pStyle w:val="11"/>
      </w:pPr>
      <w:r w:rsidRPr="00E806B6">
        <w:t>Связующими приоритетными направлениями между основными приоритетами и целевыми ориентирами являются:</w:t>
      </w:r>
    </w:p>
    <w:p w:rsidR="00892744" w:rsidRPr="00E806B6" w:rsidRDefault="00892744" w:rsidP="00892744">
      <w:pPr>
        <w:pStyle w:val="11"/>
      </w:pPr>
      <w:r w:rsidRPr="00E806B6">
        <w:t>- Развитие инфраструктуры.</w:t>
      </w:r>
    </w:p>
    <w:p w:rsidR="00892744" w:rsidRPr="00E806B6" w:rsidRDefault="00892744" w:rsidP="00892744">
      <w:pPr>
        <w:pStyle w:val="11"/>
      </w:pPr>
      <w:r w:rsidRPr="00E806B6">
        <w:t>- Развитие новых форм обслуживания.</w:t>
      </w:r>
    </w:p>
    <w:p w:rsidR="00892744" w:rsidRPr="00E806B6" w:rsidRDefault="00892744" w:rsidP="00892744">
      <w:pPr>
        <w:pStyle w:val="11"/>
      </w:pPr>
      <w:r w:rsidRPr="00E806B6">
        <w:t>- Повышение доступности туристских услуг.</w:t>
      </w:r>
    </w:p>
    <w:p w:rsidR="00892744" w:rsidRPr="00E806B6" w:rsidRDefault="00892744" w:rsidP="00892744">
      <w:pPr>
        <w:pStyle w:val="11"/>
      </w:pPr>
      <w:r w:rsidRPr="00E806B6">
        <w:t>- Обновление парка транспортных средств.</w:t>
      </w:r>
    </w:p>
    <w:p w:rsidR="00892744" w:rsidRPr="00E806B6" w:rsidRDefault="00892744" w:rsidP="00892744">
      <w:pPr>
        <w:pStyle w:val="11"/>
      </w:pPr>
      <w:r w:rsidRPr="00E806B6">
        <w:t>Особого внимания требует решение задач развития делового туризма, выставочно-фестивальной туристской деятельности, спортивного, паломнического туризма и других эффективных туристских мероприятий.</w:t>
      </w:r>
    </w:p>
    <w:p w:rsidR="00892744" w:rsidRPr="00E806B6" w:rsidRDefault="00892744" w:rsidP="00892744">
      <w:pPr>
        <w:spacing w:after="0" w:line="240" w:lineRule="auto"/>
        <w:ind w:firstLine="709"/>
        <w:jc w:val="both"/>
        <w:rPr>
          <w:rFonts w:ascii="Times New Roman" w:hAnsi="Times New Roman"/>
          <w:sz w:val="24"/>
          <w:szCs w:val="24"/>
        </w:rPr>
      </w:pPr>
      <w:r w:rsidRPr="00E806B6">
        <w:rPr>
          <w:rFonts w:ascii="Times New Roman" w:hAnsi="Times New Roman"/>
          <w:sz w:val="24"/>
          <w:szCs w:val="24"/>
        </w:rPr>
        <w:t>В целом стратегическая линия развития туризма в Самарском регионе предполагает применение концепции устойчивого развития туризма, как наиболее перспективной идеологии развития в данной предметной области. При этом устойчивый туризм понимается как туризм, который удовлетворяет потребностям современных туристов и местного населения и одновременно сохраняет и увеличивает возможности для будущего социально-экономического развития.</w:t>
      </w:r>
    </w:p>
    <w:p w:rsidR="00892744" w:rsidRPr="00E806B6" w:rsidRDefault="00892744" w:rsidP="00892744">
      <w:pPr>
        <w:spacing w:after="0" w:line="240" w:lineRule="auto"/>
        <w:ind w:firstLine="709"/>
        <w:jc w:val="both"/>
        <w:rPr>
          <w:rFonts w:ascii="Times New Roman" w:hAnsi="Times New Roman"/>
          <w:sz w:val="24"/>
          <w:szCs w:val="24"/>
        </w:rPr>
      </w:pPr>
      <w:r w:rsidRPr="00E806B6">
        <w:rPr>
          <w:rFonts w:ascii="Times New Roman" w:hAnsi="Times New Roman"/>
          <w:sz w:val="24"/>
          <w:szCs w:val="24"/>
        </w:rPr>
        <w:t>Для достижения устойчивого развития туризма предлагается реализация следующих задач:</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276DD9">
        <w:rPr>
          <w:rFonts w:ascii="Times New Roman" w:hAnsi="Times New Roman"/>
          <w:sz w:val="24"/>
          <w:szCs w:val="24"/>
          <w:highlight w:val="yellow"/>
        </w:rPr>
        <w:t>Выявление и освоение систем показателей мировых стандартов качества туристского обслуживания, применительно к условиям региона</w:t>
      </w:r>
      <w:r w:rsidRPr="00E806B6">
        <w:rPr>
          <w:rFonts w:ascii="Times New Roman" w:hAnsi="Times New Roman"/>
          <w:sz w:val="24"/>
          <w:szCs w:val="24"/>
        </w:rPr>
        <w:t>.</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 xml:space="preserve">Проведение консультаций, разработка и внедрение </w:t>
      </w:r>
      <w:proofErr w:type="spellStart"/>
      <w:r w:rsidRPr="00E806B6">
        <w:rPr>
          <w:rFonts w:ascii="Times New Roman" w:hAnsi="Times New Roman"/>
          <w:sz w:val="24"/>
          <w:szCs w:val="24"/>
        </w:rPr>
        <w:t>пилотных</w:t>
      </w:r>
      <w:proofErr w:type="spellEnd"/>
      <w:r w:rsidRPr="00E806B6">
        <w:rPr>
          <w:rFonts w:ascii="Times New Roman" w:hAnsi="Times New Roman"/>
          <w:sz w:val="24"/>
          <w:szCs w:val="24"/>
        </w:rPr>
        <w:t xml:space="preserve"> проектов создания конгломерата городов Волжского каскада в системе культурно-познавательного туризма.</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Расширение и модернизация каналов туристского обслуживания на всех уровнях и особенно водного туризма в бассейне Волги.</w:t>
      </w:r>
    </w:p>
    <w:p w:rsidR="00892744" w:rsidRPr="00276DD9" w:rsidRDefault="00892744" w:rsidP="00892744">
      <w:pPr>
        <w:numPr>
          <w:ilvl w:val="0"/>
          <w:numId w:val="1"/>
        </w:numPr>
        <w:spacing w:after="0" w:line="240" w:lineRule="auto"/>
        <w:jc w:val="both"/>
        <w:rPr>
          <w:rFonts w:ascii="Times New Roman" w:hAnsi="Times New Roman"/>
          <w:sz w:val="24"/>
          <w:szCs w:val="24"/>
          <w:highlight w:val="yellow"/>
        </w:rPr>
      </w:pPr>
      <w:r w:rsidRPr="00276DD9">
        <w:rPr>
          <w:rFonts w:ascii="Times New Roman" w:hAnsi="Times New Roman"/>
          <w:sz w:val="24"/>
          <w:szCs w:val="24"/>
          <w:highlight w:val="yellow"/>
        </w:rPr>
        <w:t>Развитие инфраструктуры коллективных средств размещения и предприятий общественного питания.</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Внедрение принципов гражданско-правового и государственно-частного партнерства в развитие новых форм обслуживания.</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Приведение стоимости туров в соответствие с уровнем доходности различных категорий туристов с целью повышения  доступности туристских услуг.</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Обновление парка транспортных сре</w:t>
      </w:r>
      <w:proofErr w:type="gramStart"/>
      <w:r w:rsidRPr="00E806B6">
        <w:rPr>
          <w:rFonts w:ascii="Times New Roman" w:hAnsi="Times New Roman"/>
          <w:sz w:val="24"/>
          <w:szCs w:val="24"/>
        </w:rPr>
        <w:t>дств с ч</w:t>
      </w:r>
      <w:proofErr w:type="gramEnd"/>
      <w:r w:rsidRPr="00E806B6">
        <w:rPr>
          <w:rFonts w:ascii="Times New Roman" w:hAnsi="Times New Roman"/>
          <w:sz w:val="24"/>
          <w:szCs w:val="24"/>
        </w:rPr>
        <w:t>астичным переводом производства на имеющуюся собственную базу.</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Обеспечение маркетинговой стратегии продвижения областного туристского продукта на российском и мировом рынках.</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Укрепление партнерских взаимоотношений в рамках развития туристско-рекреационного кластера в Самарской области.</w:t>
      </w:r>
    </w:p>
    <w:p w:rsidR="00892744" w:rsidRPr="00276DD9" w:rsidRDefault="00892744" w:rsidP="00892744">
      <w:pPr>
        <w:numPr>
          <w:ilvl w:val="0"/>
          <w:numId w:val="1"/>
        </w:numPr>
        <w:spacing w:after="0" w:line="240" w:lineRule="auto"/>
        <w:jc w:val="both"/>
        <w:rPr>
          <w:rFonts w:ascii="Times New Roman" w:hAnsi="Times New Roman"/>
          <w:sz w:val="24"/>
          <w:szCs w:val="24"/>
          <w:highlight w:val="yellow"/>
        </w:rPr>
      </w:pPr>
      <w:r w:rsidRPr="00E806B6">
        <w:rPr>
          <w:rFonts w:ascii="Times New Roman" w:hAnsi="Times New Roman"/>
          <w:sz w:val="24"/>
          <w:szCs w:val="24"/>
        </w:rPr>
        <w:t xml:space="preserve">Развитие материальной базы туристской отрасли и </w:t>
      </w:r>
      <w:r w:rsidRPr="00276DD9">
        <w:rPr>
          <w:rFonts w:ascii="Times New Roman" w:hAnsi="Times New Roman"/>
          <w:sz w:val="24"/>
          <w:szCs w:val="24"/>
          <w:highlight w:val="yellow"/>
        </w:rPr>
        <w:t>создание благоприятных условий для формирования туристско-рекреационного кластера в Самарской области.</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lastRenderedPageBreak/>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p w:rsidR="00892744" w:rsidRPr="00E806B6" w:rsidRDefault="00892744" w:rsidP="00892744">
      <w:pPr>
        <w:spacing w:after="0" w:line="240" w:lineRule="auto"/>
        <w:ind w:firstLine="709"/>
        <w:jc w:val="both"/>
        <w:rPr>
          <w:rFonts w:ascii="Times New Roman" w:hAnsi="Times New Roman"/>
          <w:sz w:val="24"/>
          <w:szCs w:val="24"/>
        </w:rPr>
      </w:pPr>
    </w:p>
    <w:p w:rsidR="00892744" w:rsidRPr="00E806B6" w:rsidRDefault="00892744" w:rsidP="00892744">
      <w:pPr>
        <w:spacing w:after="0" w:line="240" w:lineRule="auto"/>
        <w:ind w:firstLine="709"/>
        <w:jc w:val="both"/>
        <w:rPr>
          <w:rFonts w:ascii="Times New Roman" w:hAnsi="Times New Roman"/>
          <w:sz w:val="24"/>
          <w:szCs w:val="24"/>
        </w:rPr>
      </w:pPr>
      <w:r w:rsidRPr="00E806B6">
        <w:rPr>
          <w:rFonts w:ascii="Times New Roman" w:hAnsi="Times New Roman"/>
          <w:sz w:val="24"/>
          <w:szCs w:val="24"/>
        </w:rPr>
        <w:t>Перспективными мероприятиями по интенсификации развития туризма могут быть следующие:</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Развитие территории национального парка «Самарская Лука».</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Создание особой экономической зоны туристско-рекреационного типа (ОЭЗ ТРТ) на территории Самарской области.</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Развитие речного туризма, реконструкция береговых зон, развитие береговой инфраструктуры.</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Разработка совместно с регионами-партнерами общего межрегионального туристского продукта – речного круиза – под единым брендом «Великая Волга».</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 xml:space="preserve">Строительство регионального туристско-рекреационного комплекса Самарской области «Жигулевская жемчужина» </w:t>
      </w:r>
      <w:proofErr w:type="gramStart"/>
      <w:r w:rsidRPr="00E806B6">
        <w:rPr>
          <w:rFonts w:ascii="Times New Roman" w:hAnsi="Times New Roman"/>
          <w:sz w:val="24"/>
          <w:szCs w:val="24"/>
        </w:rPr>
        <w:t>в</w:t>
      </w:r>
      <w:proofErr w:type="gramEnd"/>
      <w:r w:rsidRPr="00E806B6">
        <w:rPr>
          <w:rFonts w:ascii="Times New Roman" w:hAnsi="Times New Roman"/>
          <w:sz w:val="24"/>
          <w:szCs w:val="24"/>
        </w:rPr>
        <w:t xml:space="preserve"> с. Ширяево г.о. Жигулевск.</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Создание туристско-рекреационных комплексов в муниципальных о</w:t>
      </w:r>
      <w:r w:rsidRPr="00E806B6">
        <w:rPr>
          <w:rFonts w:ascii="Times New Roman" w:hAnsi="Times New Roman"/>
          <w:sz w:val="24"/>
          <w:szCs w:val="24"/>
        </w:rPr>
        <w:t>б</w:t>
      </w:r>
      <w:r w:rsidRPr="00E806B6">
        <w:rPr>
          <w:rFonts w:ascii="Times New Roman" w:hAnsi="Times New Roman"/>
          <w:sz w:val="24"/>
          <w:szCs w:val="24"/>
        </w:rPr>
        <w:t>разованиях Самарской области.</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Развитие событийного туризма.</w:t>
      </w:r>
    </w:p>
    <w:p w:rsidR="00892744" w:rsidRPr="00E806B6" w:rsidRDefault="00892744" w:rsidP="00892744">
      <w:pPr>
        <w:numPr>
          <w:ilvl w:val="0"/>
          <w:numId w:val="1"/>
        </w:numPr>
        <w:spacing w:after="0" w:line="240" w:lineRule="auto"/>
        <w:jc w:val="both"/>
        <w:rPr>
          <w:rFonts w:ascii="Times New Roman" w:hAnsi="Times New Roman"/>
          <w:sz w:val="24"/>
          <w:szCs w:val="24"/>
        </w:rPr>
      </w:pPr>
      <w:r w:rsidRPr="00E806B6">
        <w:rPr>
          <w:rFonts w:ascii="Times New Roman" w:hAnsi="Times New Roman"/>
          <w:sz w:val="24"/>
          <w:szCs w:val="24"/>
        </w:rPr>
        <w:t xml:space="preserve">Развитие </w:t>
      </w:r>
      <w:proofErr w:type="gramStart"/>
      <w:r w:rsidRPr="00E806B6">
        <w:rPr>
          <w:rFonts w:ascii="Times New Roman" w:hAnsi="Times New Roman"/>
          <w:sz w:val="24"/>
          <w:szCs w:val="24"/>
        </w:rPr>
        <w:t>гольф-туризма</w:t>
      </w:r>
      <w:proofErr w:type="gramEnd"/>
      <w:r w:rsidRPr="00E806B6">
        <w:rPr>
          <w:rFonts w:ascii="Times New Roman" w:hAnsi="Times New Roman"/>
          <w:sz w:val="24"/>
          <w:szCs w:val="24"/>
        </w:rPr>
        <w:t>.</w:t>
      </w:r>
    </w:p>
    <w:p w:rsidR="00892744" w:rsidRPr="00E806B6" w:rsidRDefault="00892744" w:rsidP="00892744">
      <w:pPr>
        <w:pStyle w:val="11"/>
      </w:pPr>
    </w:p>
    <w:p w:rsidR="00892744" w:rsidRPr="00E806B6" w:rsidRDefault="00892744" w:rsidP="00892744">
      <w:pPr>
        <w:pStyle w:val="11"/>
      </w:pPr>
    </w:p>
    <w:p w:rsidR="00892744" w:rsidRPr="00E806B6" w:rsidRDefault="00892744" w:rsidP="00892744">
      <w:pPr>
        <w:pStyle w:val="11"/>
      </w:pPr>
    </w:p>
    <w:p w:rsidR="00892744" w:rsidRPr="00E806B6" w:rsidRDefault="00892744" w:rsidP="00892744">
      <w:pPr>
        <w:spacing w:after="0" w:line="240" w:lineRule="auto"/>
        <w:ind w:firstLine="709"/>
        <w:jc w:val="both"/>
        <w:rPr>
          <w:rFonts w:ascii="Times New Roman" w:hAnsi="Times New Roman"/>
          <w:sz w:val="24"/>
          <w:szCs w:val="24"/>
        </w:rPr>
      </w:pPr>
      <w:r w:rsidRPr="00E806B6">
        <w:rPr>
          <w:rFonts w:ascii="Times New Roman" w:hAnsi="Times New Roman"/>
          <w:b/>
          <w:sz w:val="24"/>
          <w:szCs w:val="24"/>
        </w:rPr>
        <w:t>5.2.3.6. Ожидаемые перспективы и динамика развития кластера к 2030 году</w:t>
      </w:r>
    </w:p>
    <w:p w:rsidR="00892744" w:rsidRPr="00E806B6" w:rsidRDefault="00892744" w:rsidP="00892744">
      <w:pPr>
        <w:pStyle w:val="11"/>
      </w:pPr>
    </w:p>
    <w:p w:rsidR="00892744" w:rsidRPr="00E806B6" w:rsidRDefault="00892744" w:rsidP="00892744">
      <w:pPr>
        <w:pStyle w:val="11"/>
      </w:pPr>
      <w:r w:rsidRPr="00E806B6">
        <w:t>В целом ожидается, что объем услуг, производимых кластером к 2030 году, будет возрастать. (Рисунок 5.2.3.6.1)</w:t>
      </w:r>
    </w:p>
    <w:p w:rsidR="00892744" w:rsidRPr="00E806B6" w:rsidRDefault="00892744" w:rsidP="00892744">
      <w:pPr>
        <w:pStyle w:val="11"/>
      </w:pPr>
    </w:p>
    <w:tbl>
      <w:tblPr>
        <w:tblW w:w="9912" w:type="dxa"/>
        <w:tblLook w:val="01E0"/>
      </w:tblPr>
      <w:tblGrid>
        <w:gridCol w:w="4956"/>
        <w:gridCol w:w="4956"/>
      </w:tblGrid>
      <w:tr w:rsidR="00892744" w:rsidRPr="00E806B6" w:rsidTr="006F4E66">
        <w:tc>
          <w:tcPr>
            <w:tcW w:w="9912" w:type="dxa"/>
            <w:gridSpan w:val="2"/>
            <w:vAlign w:val="center"/>
          </w:tcPr>
          <w:p w:rsidR="00892744" w:rsidRPr="00E806B6" w:rsidRDefault="00892744" w:rsidP="006F4E66">
            <w:pPr>
              <w:jc w:val="center"/>
              <w:rPr>
                <w:rFonts w:ascii="Times New Roman" w:hAnsi="Times New Roman"/>
                <w:b/>
                <w:sz w:val="24"/>
                <w:szCs w:val="24"/>
              </w:rPr>
            </w:pPr>
            <w:r w:rsidRPr="00E806B6">
              <w:rPr>
                <w:rFonts w:ascii="Times New Roman" w:hAnsi="Times New Roman"/>
                <w:b/>
                <w:sz w:val="24"/>
                <w:szCs w:val="24"/>
              </w:rPr>
              <w:t>Туристско-рекреационный кластер</w:t>
            </w:r>
          </w:p>
        </w:tc>
      </w:tr>
      <w:tr w:rsidR="00892744" w:rsidRPr="00E806B6" w:rsidTr="006F4E66">
        <w:tc>
          <w:tcPr>
            <w:tcW w:w="4956" w:type="dxa"/>
            <w:vAlign w:val="center"/>
          </w:tcPr>
          <w:p w:rsidR="00892744" w:rsidRPr="00E806B6" w:rsidRDefault="00892744" w:rsidP="006F4E66">
            <w:pPr>
              <w:jc w:val="center"/>
              <w:rPr>
                <w:rFonts w:ascii="Times New Roman" w:hAnsi="Times New Roman"/>
                <w:sz w:val="24"/>
                <w:szCs w:val="24"/>
              </w:rPr>
            </w:pPr>
            <w:r w:rsidRPr="00E806B6">
              <w:rPr>
                <w:rFonts w:ascii="Times New Roman" w:hAnsi="Times New Roman"/>
                <w:sz w:val="24"/>
                <w:szCs w:val="24"/>
                <w:lang w:val="en-US"/>
              </w:rPr>
              <w:t>2010 г.</w:t>
            </w:r>
          </w:p>
        </w:tc>
        <w:tc>
          <w:tcPr>
            <w:tcW w:w="4956" w:type="dxa"/>
            <w:vAlign w:val="center"/>
          </w:tcPr>
          <w:p w:rsidR="00892744" w:rsidRPr="00E806B6" w:rsidRDefault="00892744" w:rsidP="006F4E66">
            <w:pPr>
              <w:jc w:val="center"/>
              <w:rPr>
                <w:rFonts w:ascii="Times New Roman" w:hAnsi="Times New Roman"/>
                <w:sz w:val="24"/>
                <w:szCs w:val="24"/>
              </w:rPr>
            </w:pPr>
            <w:r w:rsidRPr="00E806B6">
              <w:rPr>
                <w:rFonts w:ascii="Times New Roman" w:hAnsi="Times New Roman"/>
                <w:sz w:val="24"/>
                <w:szCs w:val="24"/>
              </w:rPr>
              <w:t>2015 г.</w:t>
            </w:r>
          </w:p>
        </w:tc>
      </w:tr>
      <w:tr w:rsidR="00892744" w:rsidRPr="00E806B6" w:rsidTr="006F4E66">
        <w:tc>
          <w:tcPr>
            <w:tcW w:w="4956" w:type="dxa"/>
            <w:vAlign w:val="center"/>
          </w:tcPr>
          <w:p w:rsidR="00892744" w:rsidRPr="00E806B6" w:rsidRDefault="00892744" w:rsidP="006F4E66">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009900" cy="2752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09900" cy="2752725"/>
                          </a:xfrm>
                          <a:prstGeom prst="rect">
                            <a:avLst/>
                          </a:prstGeom>
                          <a:noFill/>
                          <a:ln w="9525">
                            <a:noFill/>
                            <a:miter lim="800000"/>
                            <a:headEnd/>
                            <a:tailEnd/>
                          </a:ln>
                        </pic:spPr>
                      </pic:pic>
                    </a:graphicData>
                  </a:graphic>
                </wp:inline>
              </w:drawing>
            </w:r>
          </w:p>
        </w:tc>
        <w:tc>
          <w:tcPr>
            <w:tcW w:w="4956" w:type="dxa"/>
            <w:vAlign w:val="center"/>
          </w:tcPr>
          <w:p w:rsidR="00892744" w:rsidRPr="00E806B6" w:rsidRDefault="00892744" w:rsidP="006F4E66">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009900" cy="2752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09900" cy="2752725"/>
                          </a:xfrm>
                          <a:prstGeom prst="rect">
                            <a:avLst/>
                          </a:prstGeom>
                          <a:noFill/>
                          <a:ln w="9525">
                            <a:noFill/>
                            <a:miter lim="800000"/>
                            <a:headEnd/>
                            <a:tailEnd/>
                          </a:ln>
                        </pic:spPr>
                      </pic:pic>
                    </a:graphicData>
                  </a:graphic>
                </wp:inline>
              </w:drawing>
            </w:r>
          </w:p>
        </w:tc>
      </w:tr>
      <w:tr w:rsidR="00892744" w:rsidRPr="00E806B6" w:rsidTr="006F4E66">
        <w:tc>
          <w:tcPr>
            <w:tcW w:w="4956" w:type="dxa"/>
            <w:vAlign w:val="center"/>
          </w:tcPr>
          <w:p w:rsidR="00892744" w:rsidRPr="00E806B6" w:rsidRDefault="00892744" w:rsidP="006F4E66">
            <w:pPr>
              <w:jc w:val="center"/>
              <w:rPr>
                <w:rFonts w:ascii="Times New Roman" w:hAnsi="Times New Roman"/>
                <w:sz w:val="24"/>
                <w:szCs w:val="24"/>
              </w:rPr>
            </w:pPr>
          </w:p>
          <w:p w:rsidR="00892744" w:rsidRPr="00E806B6" w:rsidRDefault="00892744" w:rsidP="006F4E66">
            <w:pPr>
              <w:jc w:val="center"/>
              <w:rPr>
                <w:rFonts w:ascii="Times New Roman" w:hAnsi="Times New Roman"/>
                <w:sz w:val="24"/>
                <w:szCs w:val="24"/>
              </w:rPr>
            </w:pPr>
          </w:p>
          <w:p w:rsidR="00892744" w:rsidRPr="00E806B6" w:rsidRDefault="00892744" w:rsidP="006F4E66">
            <w:pPr>
              <w:jc w:val="center"/>
              <w:rPr>
                <w:rFonts w:ascii="Times New Roman" w:hAnsi="Times New Roman"/>
                <w:sz w:val="24"/>
                <w:szCs w:val="24"/>
              </w:rPr>
            </w:pPr>
          </w:p>
          <w:p w:rsidR="00892744" w:rsidRPr="00E806B6" w:rsidRDefault="00892744" w:rsidP="006F4E66">
            <w:pPr>
              <w:jc w:val="center"/>
              <w:rPr>
                <w:rFonts w:ascii="Times New Roman" w:hAnsi="Times New Roman"/>
                <w:sz w:val="24"/>
                <w:szCs w:val="24"/>
              </w:rPr>
            </w:pPr>
            <w:r w:rsidRPr="00E806B6">
              <w:rPr>
                <w:rFonts w:ascii="Times New Roman" w:hAnsi="Times New Roman"/>
                <w:sz w:val="24"/>
                <w:szCs w:val="24"/>
              </w:rPr>
              <w:t>2020 г.</w:t>
            </w:r>
          </w:p>
        </w:tc>
        <w:tc>
          <w:tcPr>
            <w:tcW w:w="4956" w:type="dxa"/>
            <w:vAlign w:val="center"/>
          </w:tcPr>
          <w:p w:rsidR="00892744" w:rsidRPr="00E806B6" w:rsidRDefault="00892744" w:rsidP="006F4E66">
            <w:pPr>
              <w:jc w:val="center"/>
              <w:rPr>
                <w:rFonts w:ascii="Times New Roman" w:hAnsi="Times New Roman"/>
                <w:sz w:val="24"/>
                <w:szCs w:val="24"/>
              </w:rPr>
            </w:pPr>
          </w:p>
          <w:p w:rsidR="00892744" w:rsidRPr="00E806B6" w:rsidRDefault="00892744" w:rsidP="006F4E66">
            <w:pPr>
              <w:jc w:val="center"/>
              <w:rPr>
                <w:rFonts w:ascii="Times New Roman" w:hAnsi="Times New Roman"/>
                <w:sz w:val="24"/>
                <w:szCs w:val="24"/>
              </w:rPr>
            </w:pPr>
          </w:p>
          <w:p w:rsidR="00892744" w:rsidRPr="00E806B6" w:rsidRDefault="00892744" w:rsidP="006F4E66">
            <w:pPr>
              <w:jc w:val="center"/>
              <w:rPr>
                <w:rFonts w:ascii="Times New Roman" w:hAnsi="Times New Roman"/>
                <w:sz w:val="24"/>
                <w:szCs w:val="24"/>
              </w:rPr>
            </w:pPr>
          </w:p>
          <w:p w:rsidR="00892744" w:rsidRPr="00E806B6" w:rsidRDefault="00892744" w:rsidP="006F4E66">
            <w:pPr>
              <w:jc w:val="center"/>
              <w:rPr>
                <w:rFonts w:ascii="Times New Roman" w:hAnsi="Times New Roman"/>
                <w:sz w:val="24"/>
                <w:szCs w:val="24"/>
              </w:rPr>
            </w:pPr>
            <w:r w:rsidRPr="00E806B6">
              <w:rPr>
                <w:rFonts w:ascii="Times New Roman" w:hAnsi="Times New Roman"/>
                <w:sz w:val="24"/>
                <w:szCs w:val="24"/>
              </w:rPr>
              <w:t>2030 г.</w:t>
            </w:r>
          </w:p>
        </w:tc>
      </w:tr>
      <w:tr w:rsidR="00892744" w:rsidRPr="00E806B6" w:rsidTr="006F4E66">
        <w:tc>
          <w:tcPr>
            <w:tcW w:w="4956" w:type="dxa"/>
            <w:vAlign w:val="center"/>
          </w:tcPr>
          <w:p w:rsidR="00892744" w:rsidRPr="00E806B6" w:rsidRDefault="00892744" w:rsidP="006F4E66">
            <w:pPr>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009900" cy="2752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09900" cy="2752725"/>
                          </a:xfrm>
                          <a:prstGeom prst="rect">
                            <a:avLst/>
                          </a:prstGeom>
                          <a:noFill/>
                          <a:ln w="9525">
                            <a:noFill/>
                            <a:miter lim="800000"/>
                            <a:headEnd/>
                            <a:tailEnd/>
                          </a:ln>
                        </pic:spPr>
                      </pic:pic>
                    </a:graphicData>
                  </a:graphic>
                </wp:inline>
              </w:drawing>
            </w:r>
          </w:p>
        </w:tc>
        <w:tc>
          <w:tcPr>
            <w:tcW w:w="4956" w:type="dxa"/>
            <w:vAlign w:val="center"/>
          </w:tcPr>
          <w:p w:rsidR="00892744" w:rsidRPr="00E806B6" w:rsidRDefault="00892744" w:rsidP="006F4E66">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009900" cy="2752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09900" cy="2752725"/>
                          </a:xfrm>
                          <a:prstGeom prst="rect">
                            <a:avLst/>
                          </a:prstGeom>
                          <a:noFill/>
                          <a:ln w="9525">
                            <a:noFill/>
                            <a:miter lim="800000"/>
                            <a:headEnd/>
                            <a:tailEnd/>
                          </a:ln>
                        </pic:spPr>
                      </pic:pic>
                    </a:graphicData>
                  </a:graphic>
                </wp:inline>
              </w:drawing>
            </w:r>
          </w:p>
        </w:tc>
      </w:tr>
    </w:tbl>
    <w:p w:rsidR="00892744" w:rsidRPr="00E806B6" w:rsidRDefault="00892744" w:rsidP="00892744">
      <w:pPr>
        <w:pStyle w:val="11"/>
        <w:ind w:firstLine="0"/>
        <w:rPr>
          <w:i/>
          <w:sz w:val="20"/>
        </w:rPr>
      </w:pPr>
      <w:r w:rsidRPr="00E806B6">
        <w:rPr>
          <w:i/>
          <w:sz w:val="20"/>
        </w:rPr>
        <w:t>Источник: прогноз НИУ ВШЭ</w:t>
      </w:r>
    </w:p>
    <w:p w:rsidR="00892744" w:rsidRPr="00E806B6" w:rsidRDefault="00892744" w:rsidP="00892744">
      <w:pPr>
        <w:pStyle w:val="11"/>
        <w:jc w:val="center"/>
        <w:rPr>
          <w:b/>
        </w:rPr>
      </w:pPr>
    </w:p>
    <w:p w:rsidR="00892744" w:rsidRPr="00E806B6" w:rsidRDefault="00892744" w:rsidP="00892744">
      <w:pPr>
        <w:pStyle w:val="11"/>
        <w:jc w:val="center"/>
        <w:rPr>
          <w:b/>
        </w:rPr>
      </w:pPr>
      <w:r w:rsidRPr="00E806B6">
        <w:rPr>
          <w:b/>
        </w:rPr>
        <w:t>Рисунок 5.2.3.6.1 – Динамика и доля туристско-рекреационного кластера в экономике Самарской области</w:t>
      </w:r>
    </w:p>
    <w:p w:rsidR="00892744" w:rsidRPr="00E806B6" w:rsidRDefault="00892744" w:rsidP="00892744">
      <w:pPr>
        <w:pStyle w:val="11"/>
      </w:pPr>
    </w:p>
    <w:p w:rsidR="00892744" w:rsidRPr="00E806B6" w:rsidRDefault="00892744" w:rsidP="00892744">
      <w:pPr>
        <w:pStyle w:val="11"/>
      </w:pPr>
      <w:r w:rsidRPr="00E806B6">
        <w:t>Однако за счет роста других кластеров и секторов экономики относительная удельная процентная доля кластера будет оставаться примерно на том же уровне.</w:t>
      </w:r>
    </w:p>
    <w:p w:rsidR="00892744" w:rsidRPr="00E806B6" w:rsidRDefault="00892744" w:rsidP="00892744">
      <w:pPr>
        <w:pStyle w:val="11"/>
      </w:pPr>
      <w:r w:rsidRPr="00E806B6">
        <w:t>Прогнозные значения использования туристско-рекреационного потенциала национального парка «Самарская Лука» приведены в нижеследующей таблице (Таблица 5.2.3.6.1).</w:t>
      </w:r>
    </w:p>
    <w:p w:rsidR="00892744" w:rsidRPr="00E806B6" w:rsidRDefault="00892744" w:rsidP="00892744">
      <w:pPr>
        <w:pStyle w:val="11"/>
      </w:pPr>
    </w:p>
    <w:p w:rsidR="00892744" w:rsidRPr="00E806B6" w:rsidRDefault="00892744" w:rsidP="00892744">
      <w:pPr>
        <w:pStyle w:val="11"/>
        <w:ind w:firstLine="0"/>
        <w:rPr>
          <w:b/>
          <w:sz w:val="22"/>
          <w:szCs w:val="22"/>
        </w:rPr>
      </w:pPr>
      <w:r w:rsidRPr="00E806B6">
        <w:rPr>
          <w:b/>
          <w:sz w:val="22"/>
          <w:szCs w:val="22"/>
        </w:rPr>
        <w:t>Таблица 5.2.3.6.1 - Целевые показатели развития туризма и рекреации на территории  Самарской области</w:t>
      </w:r>
    </w:p>
    <w:tbl>
      <w:tblPr>
        <w:tblW w:w="9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1332"/>
        <w:gridCol w:w="1170"/>
        <w:gridCol w:w="1243"/>
      </w:tblGrid>
      <w:tr w:rsidR="00892744" w:rsidRPr="00E806B6" w:rsidTr="006F4E66">
        <w:tc>
          <w:tcPr>
            <w:tcW w:w="55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Целевой показатель</w:t>
            </w:r>
          </w:p>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2009 г. (отчет)*</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2020 г.**</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2030 г.**</w:t>
            </w:r>
          </w:p>
        </w:tc>
      </w:tr>
      <w:tr w:rsidR="00892744" w:rsidRPr="00E806B6" w:rsidTr="006F4E66">
        <w:tc>
          <w:tcPr>
            <w:tcW w:w="5508"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rPr>
                <w:rFonts w:ascii="Times New Roman" w:hAnsi="Times New Roman"/>
              </w:rPr>
            </w:pPr>
            <w:r w:rsidRPr="00E806B6">
              <w:rPr>
                <w:rFonts w:ascii="Times New Roman" w:hAnsi="Times New Roman"/>
              </w:rPr>
              <w:t>Количество посетителей территории НП «Самарская Лука» в экскурсионных целях (включая посещение расположенных на ней музеев, вольерных комплексов и информационных центров), чел.</w:t>
            </w:r>
          </w:p>
        </w:tc>
        <w:tc>
          <w:tcPr>
            <w:tcW w:w="1332"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jc w:val="center"/>
              <w:rPr>
                <w:rFonts w:ascii="Times New Roman" w:hAnsi="Times New Roman"/>
              </w:rPr>
            </w:pPr>
          </w:p>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13130</w:t>
            </w:r>
          </w:p>
        </w:tc>
        <w:tc>
          <w:tcPr>
            <w:tcW w:w="1170"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jc w:val="center"/>
              <w:rPr>
                <w:rFonts w:ascii="Times New Roman" w:hAnsi="Times New Roman"/>
              </w:rPr>
            </w:pPr>
          </w:p>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70000</w:t>
            </w:r>
          </w:p>
        </w:tc>
        <w:tc>
          <w:tcPr>
            <w:tcW w:w="1243"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jc w:val="center"/>
              <w:rPr>
                <w:rFonts w:ascii="Times New Roman" w:hAnsi="Times New Roman"/>
              </w:rPr>
            </w:pPr>
          </w:p>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100000</w:t>
            </w:r>
          </w:p>
        </w:tc>
      </w:tr>
      <w:tr w:rsidR="00892744" w:rsidRPr="00E806B6" w:rsidTr="006F4E66">
        <w:tc>
          <w:tcPr>
            <w:tcW w:w="5508"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rPr>
                <w:rFonts w:ascii="Times New Roman" w:hAnsi="Times New Roman"/>
              </w:rPr>
            </w:pPr>
            <w:r w:rsidRPr="00E806B6">
              <w:rPr>
                <w:rFonts w:ascii="Times New Roman" w:hAnsi="Times New Roman"/>
              </w:rPr>
              <w:t>Объем доходов НП «Самарская Лука»,  поступивших в качестве внебюджетных средств от реализации рекреационных услуг и сопутствующих товаров,  тыс. рублей (в ценах 2009 г.)</w:t>
            </w:r>
          </w:p>
        </w:tc>
        <w:tc>
          <w:tcPr>
            <w:tcW w:w="1332"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jc w:val="center"/>
              <w:rPr>
                <w:rFonts w:ascii="Times New Roman" w:hAnsi="Times New Roman"/>
              </w:rPr>
            </w:pPr>
          </w:p>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5672,6</w:t>
            </w:r>
          </w:p>
        </w:tc>
        <w:tc>
          <w:tcPr>
            <w:tcW w:w="1170"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jc w:val="center"/>
              <w:rPr>
                <w:rFonts w:ascii="Times New Roman" w:hAnsi="Times New Roman"/>
              </w:rPr>
            </w:pPr>
          </w:p>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40000</w:t>
            </w:r>
          </w:p>
        </w:tc>
        <w:tc>
          <w:tcPr>
            <w:tcW w:w="1243" w:type="dxa"/>
            <w:tcBorders>
              <w:top w:val="single" w:sz="4" w:space="0" w:color="000000"/>
              <w:left w:val="single" w:sz="4" w:space="0" w:color="000000"/>
              <w:bottom w:val="single" w:sz="4" w:space="0" w:color="000000"/>
              <w:right w:val="single" w:sz="4" w:space="0" w:color="000000"/>
            </w:tcBorders>
          </w:tcPr>
          <w:p w:rsidR="00892744" w:rsidRPr="00E806B6" w:rsidRDefault="00892744" w:rsidP="006F4E66">
            <w:pPr>
              <w:spacing w:after="0" w:line="240" w:lineRule="auto"/>
              <w:jc w:val="center"/>
              <w:rPr>
                <w:rFonts w:ascii="Times New Roman" w:hAnsi="Times New Roman"/>
              </w:rPr>
            </w:pPr>
          </w:p>
          <w:p w:rsidR="00892744" w:rsidRPr="00E806B6" w:rsidRDefault="00892744" w:rsidP="006F4E66">
            <w:pPr>
              <w:spacing w:after="0" w:line="240" w:lineRule="auto"/>
              <w:jc w:val="center"/>
              <w:rPr>
                <w:rFonts w:ascii="Times New Roman" w:hAnsi="Times New Roman"/>
              </w:rPr>
            </w:pPr>
            <w:r w:rsidRPr="00E806B6">
              <w:rPr>
                <w:rFonts w:ascii="Times New Roman" w:hAnsi="Times New Roman"/>
              </w:rPr>
              <w:t>60000</w:t>
            </w:r>
          </w:p>
        </w:tc>
      </w:tr>
    </w:tbl>
    <w:p w:rsidR="00892744" w:rsidRPr="00E806B6" w:rsidRDefault="00892744" w:rsidP="00892744">
      <w:pPr>
        <w:spacing w:after="0"/>
        <w:jc w:val="both"/>
        <w:rPr>
          <w:rFonts w:ascii="Times New Roman" w:hAnsi="Times New Roman"/>
          <w:sz w:val="20"/>
          <w:szCs w:val="20"/>
        </w:rPr>
      </w:pPr>
      <w:r w:rsidRPr="00E806B6">
        <w:rPr>
          <w:rFonts w:ascii="Times New Roman" w:hAnsi="Times New Roman"/>
          <w:sz w:val="20"/>
          <w:szCs w:val="20"/>
        </w:rPr>
        <w:t>*   По данным годового отчета за 2009 г. федерального государственного учреждения «Национальный парк «Самарская Лука» по основным направлениям деятельности</w:t>
      </w:r>
    </w:p>
    <w:p w:rsidR="00892744" w:rsidRPr="00E806B6" w:rsidRDefault="00892744" w:rsidP="00892744">
      <w:pPr>
        <w:spacing w:after="0"/>
        <w:jc w:val="both"/>
        <w:rPr>
          <w:rFonts w:ascii="Times New Roman" w:hAnsi="Times New Roman"/>
          <w:sz w:val="20"/>
          <w:szCs w:val="20"/>
        </w:rPr>
      </w:pPr>
      <w:r w:rsidRPr="00E806B6">
        <w:rPr>
          <w:rFonts w:ascii="Times New Roman" w:hAnsi="Times New Roman"/>
          <w:sz w:val="20"/>
          <w:szCs w:val="20"/>
        </w:rPr>
        <w:t>**  Расчеты на основании планов создания туристско-рекреационного комплекса «Жигулевская жемчужина» на территории Национального парка «Самарская Лука», включающего гостиницу высшего разряда на 200 номеров в спортивной зоне, гостиницу в составе «</w:t>
      </w:r>
      <w:proofErr w:type="spellStart"/>
      <w:r w:rsidRPr="00E806B6">
        <w:rPr>
          <w:rFonts w:ascii="Times New Roman" w:hAnsi="Times New Roman"/>
          <w:sz w:val="20"/>
          <w:szCs w:val="20"/>
        </w:rPr>
        <w:t>Холидей</w:t>
      </w:r>
      <w:proofErr w:type="spellEnd"/>
      <w:r w:rsidRPr="00E806B6">
        <w:rPr>
          <w:rFonts w:ascii="Times New Roman" w:hAnsi="Times New Roman"/>
          <w:sz w:val="20"/>
          <w:szCs w:val="20"/>
        </w:rPr>
        <w:t xml:space="preserve"> </w:t>
      </w:r>
      <w:proofErr w:type="spellStart"/>
      <w:r w:rsidRPr="00E806B6">
        <w:rPr>
          <w:rFonts w:ascii="Times New Roman" w:hAnsi="Times New Roman"/>
          <w:sz w:val="20"/>
          <w:szCs w:val="20"/>
        </w:rPr>
        <w:t>виллидж</w:t>
      </w:r>
      <w:proofErr w:type="spellEnd"/>
      <w:r w:rsidRPr="00E806B6">
        <w:rPr>
          <w:rFonts w:ascii="Times New Roman" w:hAnsi="Times New Roman"/>
          <w:sz w:val="20"/>
          <w:szCs w:val="20"/>
        </w:rPr>
        <w:t>», гостиницу на 60 номеров в активной зоне отдыха, гостиницу на 20 но</w:t>
      </w:r>
      <w:r w:rsidRPr="00E806B6">
        <w:rPr>
          <w:rFonts w:ascii="Times New Roman" w:hAnsi="Times New Roman"/>
          <w:sz w:val="20"/>
          <w:szCs w:val="20"/>
        </w:rPr>
        <w:softHyphen/>
        <w:t>меров на территории горнолыжного комплекса.</w:t>
      </w:r>
    </w:p>
    <w:p w:rsidR="00892744" w:rsidRPr="00E806B6" w:rsidRDefault="00892744" w:rsidP="00892744">
      <w:pPr>
        <w:pStyle w:val="11"/>
      </w:pPr>
    </w:p>
    <w:p w:rsidR="00892744" w:rsidRPr="00E806B6" w:rsidRDefault="00892744" w:rsidP="00892744">
      <w:pPr>
        <w:pStyle w:val="11"/>
      </w:pPr>
      <w:r w:rsidRPr="00E806B6">
        <w:t xml:space="preserve">Перспективные оценки показателей развития туризма в Самарской области до 2030 года приведены в таблице 5.2.3.6.2. </w:t>
      </w:r>
    </w:p>
    <w:p w:rsidR="00892744" w:rsidRPr="00E806B6" w:rsidRDefault="00892744" w:rsidP="00892744">
      <w:pPr>
        <w:pStyle w:val="11"/>
      </w:pPr>
    </w:p>
    <w:p w:rsidR="00892744" w:rsidRPr="00E806B6" w:rsidRDefault="00892744" w:rsidP="00892744">
      <w:pPr>
        <w:pStyle w:val="11"/>
      </w:pPr>
    </w:p>
    <w:p w:rsidR="00892744" w:rsidRPr="00E806B6" w:rsidRDefault="00892744" w:rsidP="00892744">
      <w:pPr>
        <w:pStyle w:val="11"/>
      </w:pPr>
    </w:p>
    <w:p w:rsidR="00892744" w:rsidRPr="00E806B6" w:rsidRDefault="00892744" w:rsidP="00892744">
      <w:pPr>
        <w:pStyle w:val="11"/>
        <w:ind w:firstLine="0"/>
        <w:rPr>
          <w:b/>
          <w:sz w:val="22"/>
          <w:szCs w:val="22"/>
        </w:rPr>
      </w:pPr>
      <w:r w:rsidRPr="00E806B6">
        <w:rPr>
          <w:b/>
          <w:sz w:val="22"/>
          <w:szCs w:val="22"/>
        </w:rPr>
        <w:t xml:space="preserve">Таблица 5.2.3.6.2 - Перспективные оценки показателей развития туризма </w:t>
      </w:r>
    </w:p>
    <w:p w:rsidR="00892744" w:rsidRPr="00E806B6" w:rsidRDefault="00892744" w:rsidP="00892744">
      <w:pPr>
        <w:pStyle w:val="11"/>
        <w:ind w:firstLine="0"/>
        <w:jc w:val="left"/>
        <w:rPr>
          <w:b/>
          <w:sz w:val="22"/>
          <w:szCs w:val="22"/>
        </w:rPr>
      </w:pPr>
      <w:r w:rsidRPr="00E806B6">
        <w:rPr>
          <w:b/>
          <w:sz w:val="22"/>
          <w:szCs w:val="22"/>
        </w:rPr>
        <w:t>в Самарской области до 2030 года</w:t>
      </w:r>
    </w:p>
    <w:tbl>
      <w:tblPr>
        <w:tblW w:w="0" w:type="auto"/>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770"/>
        <w:gridCol w:w="879"/>
        <w:gridCol w:w="857"/>
        <w:gridCol w:w="857"/>
        <w:gridCol w:w="857"/>
      </w:tblGrid>
      <w:tr w:rsidR="00892744" w:rsidRPr="00E806B6" w:rsidTr="006F4E66">
        <w:trPr>
          <w:trHeight w:val="152"/>
        </w:trPr>
        <w:tc>
          <w:tcPr>
            <w:tcW w:w="5770" w:type="dxa"/>
            <w:shd w:val="clear" w:color="auto" w:fill="D9D9D9"/>
            <w:noWrap/>
            <w:vAlign w:val="center"/>
          </w:tcPr>
          <w:p w:rsidR="00892744" w:rsidRPr="00E806B6" w:rsidRDefault="00892744" w:rsidP="006F4E66">
            <w:pPr>
              <w:jc w:val="center"/>
              <w:rPr>
                <w:rFonts w:ascii="Times New Roman" w:hAnsi="Times New Roman"/>
              </w:rPr>
            </w:pPr>
            <w:r w:rsidRPr="00E806B6">
              <w:rPr>
                <w:rFonts w:ascii="Times New Roman" w:hAnsi="Times New Roman"/>
              </w:rPr>
              <w:t>Наименования показателей</w:t>
            </w:r>
          </w:p>
        </w:tc>
        <w:tc>
          <w:tcPr>
            <w:tcW w:w="879" w:type="dxa"/>
            <w:shd w:val="clear" w:color="auto" w:fill="D9D9D9"/>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2010 г.</w:t>
            </w:r>
          </w:p>
        </w:tc>
        <w:tc>
          <w:tcPr>
            <w:tcW w:w="0" w:type="auto"/>
            <w:shd w:val="clear" w:color="auto" w:fill="D9D9D9"/>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2015 г.</w:t>
            </w:r>
          </w:p>
        </w:tc>
        <w:tc>
          <w:tcPr>
            <w:tcW w:w="0" w:type="auto"/>
            <w:shd w:val="clear" w:color="auto" w:fill="D9D9D9"/>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2020 г.</w:t>
            </w:r>
          </w:p>
        </w:tc>
        <w:tc>
          <w:tcPr>
            <w:tcW w:w="0" w:type="auto"/>
            <w:shd w:val="clear" w:color="auto" w:fill="D9D9D9"/>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2030 г.</w:t>
            </w:r>
          </w:p>
        </w:tc>
      </w:tr>
      <w:tr w:rsidR="00892744" w:rsidRPr="00E806B6" w:rsidTr="006F4E66">
        <w:trPr>
          <w:trHeight w:val="215"/>
        </w:trPr>
        <w:tc>
          <w:tcPr>
            <w:tcW w:w="5770" w:type="dxa"/>
            <w:vAlign w:val="center"/>
          </w:tcPr>
          <w:p w:rsidR="00892744" w:rsidRPr="00E806B6" w:rsidRDefault="00892744" w:rsidP="006F4E66">
            <w:pPr>
              <w:rPr>
                <w:rFonts w:ascii="Times New Roman" w:hAnsi="Times New Roman"/>
              </w:rPr>
            </w:pPr>
            <w:r w:rsidRPr="00E806B6">
              <w:rPr>
                <w:rFonts w:ascii="Times New Roman" w:hAnsi="Times New Roman"/>
              </w:rPr>
              <w:t>Число туристских фирм, единиц</w:t>
            </w:r>
          </w:p>
        </w:tc>
        <w:tc>
          <w:tcPr>
            <w:tcW w:w="879" w:type="dxa"/>
            <w:vAlign w:val="center"/>
          </w:tcPr>
          <w:p w:rsidR="00892744" w:rsidRPr="00E806B6" w:rsidRDefault="00892744" w:rsidP="006F4E66">
            <w:pPr>
              <w:jc w:val="center"/>
              <w:rPr>
                <w:rFonts w:ascii="Times New Roman" w:hAnsi="Times New Roman"/>
                <w:color w:val="000000"/>
              </w:rPr>
            </w:pPr>
            <w:r w:rsidRPr="00E806B6">
              <w:rPr>
                <w:rFonts w:ascii="Times New Roman" w:hAnsi="Times New Roman"/>
                <w:color w:val="000000"/>
              </w:rPr>
              <w:t>242</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313</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406</w:t>
            </w:r>
          </w:p>
        </w:tc>
        <w:tc>
          <w:tcPr>
            <w:tcW w:w="0" w:type="auto"/>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599</w:t>
            </w:r>
          </w:p>
        </w:tc>
      </w:tr>
      <w:tr w:rsidR="00892744" w:rsidRPr="00E806B6" w:rsidTr="006F4E66">
        <w:trPr>
          <w:trHeight w:val="276"/>
        </w:trPr>
        <w:tc>
          <w:tcPr>
            <w:tcW w:w="5770" w:type="dxa"/>
            <w:vAlign w:val="center"/>
          </w:tcPr>
          <w:p w:rsidR="00892744" w:rsidRPr="00E806B6" w:rsidRDefault="00892744" w:rsidP="006F4E66">
            <w:pPr>
              <w:rPr>
                <w:rFonts w:ascii="Times New Roman" w:hAnsi="Times New Roman"/>
              </w:rPr>
            </w:pPr>
            <w:r w:rsidRPr="00E806B6">
              <w:rPr>
                <w:rFonts w:ascii="Times New Roman" w:hAnsi="Times New Roman"/>
              </w:rPr>
              <w:t>Выручка от оказания туристских услуг, млн. руб.</w:t>
            </w:r>
          </w:p>
        </w:tc>
        <w:tc>
          <w:tcPr>
            <w:tcW w:w="879" w:type="dxa"/>
            <w:vAlign w:val="center"/>
          </w:tcPr>
          <w:p w:rsidR="00892744" w:rsidRPr="00E806B6" w:rsidRDefault="00892744" w:rsidP="006F4E66">
            <w:pPr>
              <w:jc w:val="center"/>
              <w:rPr>
                <w:rFonts w:ascii="Times New Roman" w:hAnsi="Times New Roman"/>
                <w:color w:val="000000"/>
              </w:rPr>
            </w:pPr>
            <w:r w:rsidRPr="00E806B6">
              <w:rPr>
                <w:rFonts w:ascii="Times New Roman" w:hAnsi="Times New Roman"/>
                <w:color w:val="000000"/>
              </w:rPr>
              <w:t>820,5</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1032,0</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1330,9</w:t>
            </w:r>
          </w:p>
        </w:tc>
        <w:tc>
          <w:tcPr>
            <w:tcW w:w="0" w:type="auto"/>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1928,9</w:t>
            </w:r>
          </w:p>
        </w:tc>
      </w:tr>
      <w:tr w:rsidR="00892744" w:rsidRPr="00E806B6" w:rsidTr="006F4E66">
        <w:trPr>
          <w:trHeight w:val="338"/>
        </w:trPr>
        <w:tc>
          <w:tcPr>
            <w:tcW w:w="5770" w:type="dxa"/>
            <w:vAlign w:val="center"/>
          </w:tcPr>
          <w:p w:rsidR="00892744" w:rsidRPr="00E806B6" w:rsidRDefault="00892744" w:rsidP="006F4E66">
            <w:pPr>
              <w:rPr>
                <w:rFonts w:ascii="Times New Roman" w:hAnsi="Times New Roman"/>
              </w:rPr>
            </w:pPr>
            <w:r w:rsidRPr="00E806B6">
              <w:rPr>
                <w:rFonts w:ascii="Times New Roman" w:hAnsi="Times New Roman"/>
              </w:rPr>
              <w:t>Число гостиниц и аналогичных средств размещения, единиц</w:t>
            </w:r>
          </w:p>
        </w:tc>
        <w:tc>
          <w:tcPr>
            <w:tcW w:w="879" w:type="dxa"/>
            <w:vAlign w:val="center"/>
          </w:tcPr>
          <w:p w:rsidR="00892744" w:rsidRPr="00E806B6" w:rsidRDefault="00892744" w:rsidP="006F4E66">
            <w:pPr>
              <w:jc w:val="center"/>
              <w:rPr>
                <w:rFonts w:ascii="Times New Roman" w:hAnsi="Times New Roman"/>
                <w:color w:val="000000"/>
              </w:rPr>
            </w:pPr>
            <w:r w:rsidRPr="00E806B6">
              <w:rPr>
                <w:rFonts w:ascii="Times New Roman" w:hAnsi="Times New Roman"/>
                <w:color w:val="000000"/>
              </w:rPr>
              <w:t>112</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146</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182</w:t>
            </w:r>
          </w:p>
        </w:tc>
        <w:tc>
          <w:tcPr>
            <w:tcW w:w="0" w:type="auto"/>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254</w:t>
            </w:r>
          </w:p>
        </w:tc>
      </w:tr>
      <w:tr w:rsidR="00892744" w:rsidRPr="00E806B6" w:rsidTr="006F4E66">
        <w:trPr>
          <w:trHeight w:val="318"/>
        </w:trPr>
        <w:tc>
          <w:tcPr>
            <w:tcW w:w="5770" w:type="dxa"/>
            <w:vAlign w:val="center"/>
          </w:tcPr>
          <w:p w:rsidR="00892744" w:rsidRPr="00E806B6" w:rsidRDefault="00892744" w:rsidP="006F4E66">
            <w:pPr>
              <w:rPr>
                <w:rFonts w:ascii="Times New Roman" w:hAnsi="Times New Roman"/>
              </w:rPr>
            </w:pPr>
            <w:r w:rsidRPr="00E806B6">
              <w:rPr>
                <w:rFonts w:ascii="Times New Roman" w:hAnsi="Times New Roman"/>
              </w:rPr>
              <w:t>Доходы от предоставляемых услуг коллективными средствами размещения, млн. руб.</w:t>
            </w:r>
          </w:p>
        </w:tc>
        <w:tc>
          <w:tcPr>
            <w:tcW w:w="879" w:type="dxa"/>
            <w:vAlign w:val="center"/>
          </w:tcPr>
          <w:p w:rsidR="00892744" w:rsidRPr="00E806B6" w:rsidRDefault="00892744" w:rsidP="006F4E66">
            <w:pPr>
              <w:jc w:val="center"/>
              <w:rPr>
                <w:rFonts w:ascii="Times New Roman" w:hAnsi="Times New Roman"/>
                <w:color w:val="000000"/>
              </w:rPr>
            </w:pPr>
            <w:r w:rsidRPr="00E806B6">
              <w:rPr>
                <w:rFonts w:ascii="Times New Roman" w:hAnsi="Times New Roman"/>
                <w:color w:val="000000"/>
              </w:rPr>
              <w:t>1001,7</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1915,9</w:t>
            </w:r>
          </w:p>
        </w:tc>
        <w:tc>
          <w:tcPr>
            <w:tcW w:w="0" w:type="auto"/>
            <w:noWrap/>
            <w:vAlign w:val="center"/>
          </w:tcPr>
          <w:p w:rsidR="00892744" w:rsidRPr="00E806B6" w:rsidRDefault="00892744" w:rsidP="006F4E66">
            <w:pPr>
              <w:jc w:val="center"/>
              <w:rPr>
                <w:rFonts w:ascii="Times New Roman" w:hAnsi="Times New Roman"/>
              </w:rPr>
            </w:pPr>
            <w:r w:rsidRPr="00E806B6">
              <w:rPr>
                <w:rFonts w:ascii="Times New Roman" w:hAnsi="Times New Roman"/>
              </w:rPr>
              <w:t>2490,7</w:t>
            </w:r>
          </w:p>
        </w:tc>
        <w:tc>
          <w:tcPr>
            <w:tcW w:w="0" w:type="auto"/>
            <w:noWrap/>
            <w:vAlign w:val="center"/>
          </w:tcPr>
          <w:p w:rsidR="00892744" w:rsidRPr="00E806B6" w:rsidRDefault="00892744" w:rsidP="006F4E66">
            <w:pPr>
              <w:jc w:val="center"/>
              <w:rPr>
                <w:rFonts w:ascii="Times New Roman" w:hAnsi="Times New Roman"/>
                <w:bCs/>
              </w:rPr>
            </w:pPr>
            <w:r w:rsidRPr="00E806B6">
              <w:rPr>
                <w:rFonts w:ascii="Times New Roman" w:hAnsi="Times New Roman"/>
                <w:bCs/>
              </w:rPr>
              <w:t>3640,2</w:t>
            </w:r>
          </w:p>
        </w:tc>
      </w:tr>
    </w:tbl>
    <w:p w:rsidR="00892744" w:rsidRPr="00E806B6" w:rsidRDefault="00892744" w:rsidP="00892744">
      <w:pPr>
        <w:pStyle w:val="11"/>
      </w:pPr>
    </w:p>
    <w:p w:rsidR="00840256" w:rsidRDefault="00840256"/>
    <w:sectPr w:rsidR="00840256" w:rsidSect="00840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83C9B"/>
    <w:multiLevelType w:val="hybridMultilevel"/>
    <w:tmpl w:val="7F2409AA"/>
    <w:lvl w:ilvl="0" w:tplc="04190001">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2744"/>
    <w:rsid w:val="00276DD9"/>
    <w:rsid w:val="00840256"/>
    <w:rsid w:val="00892744"/>
    <w:rsid w:val="00E66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44"/>
    <w:rPr>
      <w:rFonts w:ascii="Calibri" w:eastAsia="Times New Roman" w:hAnsi="Calibri" w:cs="Times New Roman"/>
    </w:rPr>
  </w:style>
  <w:style w:type="paragraph" w:styleId="3">
    <w:name w:val="heading 3"/>
    <w:aliases w:val="Заголовок 3 Знак2 Знак,Заголовок 3 Знак Знак1 Знак,Знак13 Знак Знак Знак,Заголовок 3 Знак Знак Знак Знак,Заголовок 3 Знак1 Знак Знак,Знак2 Знак Знак Знак Знак Знак,ПодЗаголовок Знак Знак,Заголовок 3 Знак2 Знак Знак Знак Знак"/>
    <w:basedOn w:val="a"/>
    <w:next w:val="a"/>
    <w:link w:val="30"/>
    <w:qFormat/>
    <w:rsid w:val="00892744"/>
    <w:pPr>
      <w:keepNext/>
      <w:spacing w:before="240" w:after="120" w:line="240" w:lineRule="auto"/>
      <w:jc w:val="both"/>
      <w:outlineLvl w:val="2"/>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2744"/>
    <w:rPr>
      <w:rFonts w:ascii="Times New Roman" w:eastAsia="Times New Roman" w:hAnsi="Times New Roman" w:cs="Times New Roman"/>
      <w:b/>
      <w:sz w:val="24"/>
      <w:szCs w:val="20"/>
      <w:lang w:eastAsia="ru-RU"/>
    </w:rPr>
  </w:style>
  <w:style w:type="paragraph" w:customStyle="1" w:styleId="11">
    <w:name w:val="Обычный1 Знак Знак1 Знак Знак"/>
    <w:basedOn w:val="a"/>
    <w:link w:val="110"/>
    <w:rsid w:val="00892744"/>
    <w:pPr>
      <w:spacing w:after="0" w:line="240" w:lineRule="auto"/>
      <w:ind w:firstLine="709"/>
      <w:jc w:val="both"/>
    </w:pPr>
    <w:rPr>
      <w:rFonts w:ascii="Times New Roman" w:hAnsi="Times New Roman"/>
      <w:sz w:val="24"/>
      <w:szCs w:val="20"/>
    </w:rPr>
  </w:style>
  <w:style w:type="character" w:customStyle="1" w:styleId="110">
    <w:name w:val="Обычный1 Знак Знак1 Знак Знак Знак"/>
    <w:link w:val="11"/>
    <w:rsid w:val="00892744"/>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892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7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2974</Words>
  <Characters>16953</Characters>
  <Application>Microsoft Office Word</Application>
  <DocSecurity>0</DocSecurity>
  <Lines>141</Lines>
  <Paragraphs>39</Paragraphs>
  <ScaleCrop>false</ScaleCrop>
  <Company>Microsoft</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2012-06-21T17:20:00Z</dcterms:created>
  <dcterms:modified xsi:type="dcterms:W3CDTF">2012-06-21T17:29:00Z</dcterms:modified>
</cp:coreProperties>
</file>